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A60A" w14:textId="77777777" w:rsidR="00D061E0" w:rsidRPr="00866D50" w:rsidRDefault="00D061E0" w:rsidP="00D061E0">
      <w:pPr>
        <w:spacing w:line="276" w:lineRule="auto"/>
        <w:jc w:val="center"/>
        <w:rPr>
          <w:rFonts w:asciiTheme="majorBidi" w:eastAsia="SimSun" w:hAnsiTheme="majorBidi" w:cstheme="majorBidi"/>
          <w:b/>
          <w:bCs/>
          <w:sz w:val="28"/>
          <w:szCs w:val="28"/>
        </w:rPr>
      </w:pPr>
      <w:r w:rsidRPr="00866D50">
        <w:rPr>
          <w:rFonts w:asciiTheme="majorBidi" w:eastAsia="SimSu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03A1A" wp14:editId="02B1A96D">
            <wp:simplePos x="0" y="0"/>
            <wp:positionH relativeFrom="column">
              <wp:posOffset>4276090</wp:posOffset>
            </wp:positionH>
            <wp:positionV relativeFrom="paragraph">
              <wp:posOffset>78105</wp:posOffset>
            </wp:positionV>
            <wp:extent cx="1600835" cy="387985"/>
            <wp:effectExtent l="0" t="0" r="0" b="0"/>
            <wp:wrapTight wrapText="bothSides">
              <wp:wrapPolygon edited="0">
                <wp:start x="11653" y="0"/>
                <wp:lineTo x="0" y="5656"/>
                <wp:lineTo x="0" y="19797"/>
                <wp:lineTo x="21249" y="19797"/>
                <wp:lineTo x="21249" y="2828"/>
                <wp:lineTo x="15422" y="0"/>
                <wp:lineTo x="11653" y="0"/>
              </wp:wrapPolygon>
            </wp:wrapTight>
            <wp:docPr id="3" name="Picture 3" descr="Macintosh HD:Users:CatalystThree:Desktop:omnimetrix-color-logo-270x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alystThree:Desktop:omnimetrix-color-logo-270x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D50">
        <w:rPr>
          <w:rFonts w:asciiTheme="majorBidi" w:eastAsia="SimSu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BD73FD" wp14:editId="2317B65D">
            <wp:simplePos x="0" y="0"/>
            <wp:positionH relativeFrom="column">
              <wp:posOffset>88900</wp:posOffset>
            </wp:positionH>
            <wp:positionV relativeFrom="paragraph">
              <wp:posOffset>-31115</wp:posOffset>
            </wp:positionV>
            <wp:extent cx="2056765" cy="585470"/>
            <wp:effectExtent l="0" t="0" r="635" b="0"/>
            <wp:wrapTight wrapText="bothSides">
              <wp:wrapPolygon edited="0">
                <wp:start x="0" y="0"/>
                <wp:lineTo x="0" y="20616"/>
                <wp:lineTo x="21340" y="20616"/>
                <wp:lineTo x="21340" y="0"/>
                <wp:lineTo x="0" y="0"/>
              </wp:wrapPolygon>
            </wp:wrapTight>
            <wp:docPr id="4" name="Picture 4" descr="Share Files:CLIENTS:ACFN:Logo:acorn-energy-in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Files:CLIENTS:ACFN:Logo:acorn-energy-in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BA288" w14:textId="77777777" w:rsidR="00D061E0" w:rsidRPr="00866D50" w:rsidRDefault="00D061E0" w:rsidP="00D061E0">
      <w:pPr>
        <w:spacing w:line="276" w:lineRule="auto"/>
        <w:jc w:val="center"/>
        <w:rPr>
          <w:rFonts w:asciiTheme="majorBidi" w:eastAsia="SimSun" w:hAnsiTheme="majorBidi" w:cstheme="majorBidi"/>
          <w:b/>
          <w:bCs/>
          <w:sz w:val="28"/>
          <w:szCs w:val="28"/>
        </w:rPr>
      </w:pPr>
    </w:p>
    <w:p w14:paraId="5AD6E72A" w14:textId="77777777" w:rsidR="00D061E0" w:rsidRPr="00866D50" w:rsidRDefault="00D061E0" w:rsidP="00D061E0">
      <w:pPr>
        <w:spacing w:line="276" w:lineRule="auto"/>
        <w:jc w:val="center"/>
        <w:rPr>
          <w:rFonts w:asciiTheme="majorBidi" w:eastAsia="SimSun" w:hAnsiTheme="majorBidi" w:cstheme="majorBidi"/>
          <w:b/>
          <w:bCs/>
          <w:sz w:val="28"/>
          <w:szCs w:val="28"/>
        </w:rPr>
      </w:pPr>
    </w:p>
    <w:p w14:paraId="016F1319" w14:textId="77777777" w:rsidR="00717916" w:rsidRDefault="00717916" w:rsidP="00717916">
      <w:pPr>
        <w:spacing w:line="276" w:lineRule="auto"/>
        <w:jc w:val="center"/>
        <w:rPr>
          <w:rFonts w:asciiTheme="majorBidi" w:eastAsia="SimSun" w:hAnsiTheme="majorBidi" w:cstheme="majorBidi"/>
          <w:b/>
          <w:bCs/>
          <w:sz w:val="28"/>
          <w:szCs w:val="28"/>
        </w:rPr>
      </w:pPr>
      <w:r>
        <w:rPr>
          <w:rFonts w:asciiTheme="majorBidi" w:eastAsia="SimSun" w:hAnsiTheme="majorBidi" w:cstheme="majorBidi"/>
          <w:b/>
          <w:bCs/>
          <w:sz w:val="28"/>
          <w:szCs w:val="28"/>
        </w:rPr>
        <w:t>Strength in Remote Monitoring and Control IoT Solutions for Pipelines</w:t>
      </w:r>
    </w:p>
    <w:p w14:paraId="1D3C5B95" w14:textId="77777777" w:rsidR="0030573B" w:rsidRDefault="00717916" w:rsidP="00717916">
      <w:pPr>
        <w:spacing w:line="276" w:lineRule="auto"/>
        <w:jc w:val="center"/>
        <w:rPr>
          <w:rFonts w:asciiTheme="majorBidi" w:eastAsia="SimSun" w:hAnsiTheme="majorBidi" w:cstheme="majorBidi"/>
          <w:b/>
          <w:bCs/>
          <w:sz w:val="28"/>
          <w:szCs w:val="28"/>
        </w:rPr>
      </w:pPr>
      <w:r>
        <w:rPr>
          <w:rFonts w:asciiTheme="majorBidi" w:eastAsia="SimSun" w:hAnsiTheme="majorBidi" w:cstheme="majorBidi"/>
          <w:b/>
          <w:bCs/>
          <w:sz w:val="28"/>
          <w:szCs w:val="28"/>
        </w:rPr>
        <w:t xml:space="preserve">and Generators Drives 17% </w:t>
      </w:r>
      <w:r w:rsidR="006D1708">
        <w:rPr>
          <w:rFonts w:asciiTheme="majorBidi" w:eastAsia="SimSun" w:hAnsiTheme="majorBidi" w:cstheme="majorBidi"/>
          <w:b/>
          <w:bCs/>
          <w:sz w:val="28"/>
          <w:szCs w:val="28"/>
        </w:rPr>
        <w:t>Increase</w:t>
      </w:r>
      <w:r>
        <w:rPr>
          <w:rFonts w:asciiTheme="majorBidi" w:eastAsia="SimSun" w:hAnsiTheme="majorBidi" w:cstheme="majorBidi"/>
          <w:b/>
          <w:bCs/>
          <w:sz w:val="28"/>
          <w:szCs w:val="28"/>
        </w:rPr>
        <w:t xml:space="preserve"> in </w:t>
      </w:r>
      <w:r w:rsidR="001F1676">
        <w:rPr>
          <w:rFonts w:asciiTheme="majorBidi" w:eastAsia="SimSun" w:hAnsiTheme="majorBidi" w:cstheme="majorBidi"/>
          <w:b/>
          <w:bCs/>
          <w:sz w:val="28"/>
          <w:szCs w:val="28"/>
        </w:rPr>
        <w:t>Acorn</w:t>
      </w:r>
      <w:r w:rsidR="00136350">
        <w:rPr>
          <w:rFonts w:asciiTheme="majorBidi" w:eastAsia="SimSun" w:hAnsiTheme="majorBidi" w:cstheme="majorBidi"/>
          <w:b/>
          <w:bCs/>
          <w:sz w:val="28"/>
          <w:szCs w:val="28"/>
        </w:rPr>
        <w:t>'s</w:t>
      </w:r>
      <w:r w:rsidR="00E243EA">
        <w:rPr>
          <w:rFonts w:asciiTheme="majorBidi" w:eastAsia="SimSun" w:hAnsiTheme="majorBidi" w:cstheme="majorBidi"/>
          <w:b/>
          <w:bCs/>
          <w:sz w:val="28"/>
          <w:szCs w:val="28"/>
        </w:rPr>
        <w:t xml:space="preserve"> </w:t>
      </w:r>
      <w:r w:rsidR="002474D3">
        <w:rPr>
          <w:rFonts w:asciiTheme="majorBidi" w:eastAsia="SimSun" w:hAnsiTheme="majorBidi" w:cstheme="majorBidi"/>
          <w:b/>
          <w:bCs/>
          <w:sz w:val="28"/>
          <w:szCs w:val="28"/>
        </w:rPr>
        <w:t>2018 Revenue</w:t>
      </w:r>
    </w:p>
    <w:p w14:paraId="2F923122" w14:textId="77777777" w:rsidR="00D061E0" w:rsidRPr="00874A02" w:rsidRDefault="00D061E0" w:rsidP="002865D1">
      <w:pPr>
        <w:spacing w:line="276" w:lineRule="auto"/>
        <w:jc w:val="center"/>
        <w:rPr>
          <w:rFonts w:asciiTheme="majorBidi" w:eastAsia="SimSun" w:hAnsiTheme="majorBidi" w:cstheme="majorBidi"/>
          <w:bCs/>
          <w:sz w:val="16"/>
          <w:szCs w:val="16"/>
        </w:rPr>
      </w:pPr>
    </w:p>
    <w:p w14:paraId="1673A7B4" w14:textId="77777777" w:rsidR="00D061E0" w:rsidRPr="0089349A" w:rsidRDefault="00D061E0" w:rsidP="002865D1">
      <w:pPr>
        <w:tabs>
          <w:tab w:val="left" w:pos="831"/>
          <w:tab w:val="center" w:pos="4680"/>
        </w:tabs>
        <w:spacing w:line="276" w:lineRule="auto"/>
        <w:jc w:val="center"/>
        <w:rPr>
          <w:rFonts w:asciiTheme="majorBidi" w:eastAsia="SimSun" w:hAnsiTheme="majorBidi" w:cstheme="majorBidi"/>
          <w:bCs/>
          <w:i/>
        </w:rPr>
      </w:pPr>
      <w:r w:rsidRPr="0089349A">
        <w:rPr>
          <w:rFonts w:asciiTheme="majorBidi" w:eastAsia="SimSun" w:hAnsiTheme="majorBidi" w:cstheme="majorBidi"/>
          <w:bCs/>
          <w:i/>
        </w:rPr>
        <w:t>Dial</w:t>
      </w:r>
      <w:r w:rsidR="00891394">
        <w:rPr>
          <w:rFonts w:asciiTheme="majorBidi" w:eastAsia="SimSun" w:hAnsiTheme="majorBidi" w:cstheme="majorBidi"/>
          <w:bCs/>
          <w:i/>
        </w:rPr>
        <w:t xml:space="preserve"> </w:t>
      </w:r>
      <w:r w:rsidR="00891394" w:rsidRPr="00DD3C93">
        <w:rPr>
          <w:rFonts w:asciiTheme="majorBidi" w:eastAsia="SimSun" w:hAnsiTheme="majorBidi" w:cstheme="majorBidi"/>
          <w:bCs/>
          <w:i/>
        </w:rPr>
        <w:t>844-834-0644</w:t>
      </w:r>
      <w:r w:rsidR="0045301D">
        <w:rPr>
          <w:rFonts w:asciiTheme="majorBidi" w:eastAsia="SimSun" w:hAnsiTheme="majorBidi" w:cstheme="majorBidi"/>
          <w:bCs/>
          <w:i/>
        </w:rPr>
        <w:t xml:space="preserve"> for</w:t>
      </w:r>
      <w:r w:rsidR="0051429F" w:rsidRPr="0089349A">
        <w:rPr>
          <w:rFonts w:asciiTheme="majorBidi" w:eastAsia="SimSun" w:hAnsiTheme="majorBidi" w:cstheme="majorBidi"/>
          <w:bCs/>
          <w:i/>
        </w:rPr>
        <w:t xml:space="preserve"> </w:t>
      </w:r>
      <w:r w:rsidR="00791E79">
        <w:rPr>
          <w:rFonts w:asciiTheme="majorBidi" w:eastAsia="SimSun" w:hAnsiTheme="majorBidi" w:cstheme="majorBidi"/>
          <w:bCs/>
          <w:i/>
        </w:rPr>
        <w:t>Investor</w:t>
      </w:r>
      <w:r w:rsidR="0045301D">
        <w:rPr>
          <w:rFonts w:asciiTheme="majorBidi" w:eastAsia="SimSun" w:hAnsiTheme="majorBidi" w:cstheme="majorBidi"/>
          <w:bCs/>
          <w:i/>
        </w:rPr>
        <w:t xml:space="preserve"> </w:t>
      </w:r>
      <w:r w:rsidR="00164B91">
        <w:rPr>
          <w:rFonts w:asciiTheme="majorBidi" w:eastAsia="SimSun" w:hAnsiTheme="majorBidi" w:cstheme="majorBidi"/>
          <w:bCs/>
          <w:i/>
        </w:rPr>
        <w:t xml:space="preserve">Call </w:t>
      </w:r>
      <w:r w:rsidR="00264075">
        <w:rPr>
          <w:rFonts w:asciiTheme="majorBidi" w:eastAsia="SimSun" w:hAnsiTheme="majorBidi" w:cstheme="majorBidi"/>
          <w:bCs/>
          <w:i/>
        </w:rPr>
        <w:t>Today</w:t>
      </w:r>
      <w:r w:rsidR="00F15F6E">
        <w:rPr>
          <w:rFonts w:asciiTheme="majorBidi" w:eastAsia="SimSun" w:hAnsiTheme="majorBidi" w:cstheme="majorBidi"/>
          <w:bCs/>
          <w:i/>
        </w:rPr>
        <w:t xml:space="preserve"> </w:t>
      </w:r>
      <w:r w:rsidRPr="0089349A">
        <w:rPr>
          <w:rFonts w:asciiTheme="majorBidi" w:eastAsia="SimSun" w:hAnsiTheme="majorBidi" w:cstheme="majorBidi"/>
          <w:bCs/>
          <w:i/>
        </w:rPr>
        <w:t>at 11:00 am E</w:t>
      </w:r>
      <w:r w:rsidR="00C920AE">
        <w:rPr>
          <w:rFonts w:asciiTheme="majorBidi" w:eastAsia="SimSun" w:hAnsiTheme="majorBidi" w:cstheme="majorBidi"/>
          <w:bCs/>
          <w:i/>
        </w:rPr>
        <w:t>D</w:t>
      </w:r>
      <w:r w:rsidRPr="0089349A">
        <w:rPr>
          <w:rFonts w:asciiTheme="majorBidi" w:eastAsia="SimSun" w:hAnsiTheme="majorBidi" w:cstheme="majorBidi"/>
          <w:bCs/>
          <w:i/>
        </w:rPr>
        <w:t>T</w:t>
      </w:r>
    </w:p>
    <w:p w14:paraId="6DF56504" w14:textId="77777777" w:rsidR="00D061E0" w:rsidRPr="00866D50" w:rsidRDefault="00D061E0" w:rsidP="00D061E0">
      <w:pPr>
        <w:spacing w:line="276" w:lineRule="auto"/>
        <w:rPr>
          <w:rFonts w:asciiTheme="majorBidi" w:hAnsiTheme="majorBidi" w:cstheme="majorBidi"/>
          <w:b/>
        </w:rPr>
      </w:pPr>
    </w:p>
    <w:p w14:paraId="7A312A9F" w14:textId="77777777" w:rsidR="00D061E0" w:rsidRDefault="00D061E0" w:rsidP="00D061E0">
      <w:pPr>
        <w:spacing w:line="276" w:lineRule="auto"/>
        <w:rPr>
          <w:rFonts w:asciiTheme="majorBidi" w:eastAsia="SimSun" w:hAnsiTheme="majorBidi" w:cstheme="majorBidi"/>
        </w:rPr>
      </w:pPr>
      <w:r w:rsidRPr="009B28E0">
        <w:rPr>
          <w:rFonts w:asciiTheme="majorBidi" w:hAnsiTheme="majorBidi" w:cstheme="majorBidi"/>
          <w:b/>
        </w:rPr>
        <w:t>Wilmington, DE –</w:t>
      </w:r>
      <w:r w:rsidR="00264075">
        <w:rPr>
          <w:rFonts w:asciiTheme="majorBidi" w:hAnsiTheme="majorBidi" w:cstheme="majorBidi"/>
          <w:b/>
        </w:rPr>
        <w:t xml:space="preserve"> March</w:t>
      </w:r>
      <w:r w:rsidR="009B28E0" w:rsidRPr="009B28E0">
        <w:rPr>
          <w:rFonts w:asciiTheme="majorBidi" w:hAnsiTheme="majorBidi" w:cstheme="majorBidi"/>
          <w:b/>
        </w:rPr>
        <w:t xml:space="preserve"> </w:t>
      </w:r>
      <w:r w:rsidR="00264075">
        <w:rPr>
          <w:rFonts w:asciiTheme="majorBidi" w:hAnsiTheme="majorBidi" w:cstheme="majorBidi"/>
          <w:b/>
        </w:rPr>
        <w:t>27</w:t>
      </w:r>
      <w:r w:rsidRPr="009B28E0">
        <w:rPr>
          <w:rFonts w:asciiTheme="majorBidi" w:hAnsiTheme="majorBidi" w:cstheme="majorBidi"/>
          <w:b/>
        </w:rPr>
        <w:t>, 201</w:t>
      </w:r>
      <w:r w:rsidR="0060629D">
        <w:rPr>
          <w:rFonts w:asciiTheme="majorBidi" w:hAnsiTheme="majorBidi" w:cstheme="majorBidi"/>
          <w:b/>
        </w:rPr>
        <w:t>9</w:t>
      </w:r>
      <w:r w:rsidRPr="009B28E0">
        <w:rPr>
          <w:rFonts w:asciiTheme="majorBidi" w:hAnsiTheme="majorBidi" w:cstheme="majorBidi"/>
          <w:b/>
        </w:rPr>
        <w:t xml:space="preserve"> –</w:t>
      </w:r>
      <w:r w:rsidRPr="009B28E0">
        <w:rPr>
          <w:rFonts w:asciiTheme="majorBidi" w:hAnsiTheme="majorBidi" w:cstheme="majorBidi"/>
        </w:rPr>
        <w:t xml:space="preserve"> </w:t>
      </w:r>
      <w:hyperlink r:id="rId9" w:history="1">
        <w:r w:rsidRPr="009B28E0">
          <w:rPr>
            <w:rStyle w:val="Hyperlink"/>
            <w:rFonts w:asciiTheme="majorBidi" w:hAnsiTheme="majorBidi" w:cstheme="majorBidi"/>
            <w:color w:val="0070C0"/>
          </w:rPr>
          <w:t>Acorn Energy, Inc.</w:t>
        </w:r>
      </w:hyperlink>
      <w:r w:rsidRPr="009B28E0">
        <w:rPr>
          <w:rFonts w:asciiTheme="majorBidi" w:hAnsiTheme="majorBidi" w:cstheme="majorBidi"/>
        </w:rPr>
        <w:t xml:space="preserve"> </w:t>
      </w:r>
      <w:r w:rsidRPr="009B28E0">
        <w:rPr>
          <w:rFonts w:asciiTheme="majorBidi" w:eastAsia="SimSun" w:hAnsiTheme="majorBidi" w:cstheme="majorBidi"/>
        </w:rPr>
        <w:t>(</w:t>
      </w:r>
      <w:r w:rsidRPr="009B28E0">
        <w:rPr>
          <w:rFonts w:asciiTheme="majorBidi" w:eastAsia="SimSun" w:hAnsiTheme="majorBidi" w:cstheme="majorBidi"/>
          <w:color w:val="000000" w:themeColor="text1"/>
        </w:rPr>
        <w:t xml:space="preserve">OTCQB: </w:t>
      </w:r>
      <w:hyperlink r:id="rId10" w:history="1">
        <w:r w:rsidRPr="00E57952">
          <w:rPr>
            <w:rStyle w:val="Hyperlink"/>
            <w:rFonts w:asciiTheme="majorBidi" w:eastAsia="SimSun" w:hAnsiTheme="majorBidi" w:cstheme="majorBidi"/>
            <w:color w:val="0070C0"/>
          </w:rPr>
          <w:t>ACFN</w:t>
        </w:r>
      </w:hyperlink>
      <w:r w:rsidRPr="009B28E0">
        <w:rPr>
          <w:rFonts w:asciiTheme="majorBidi" w:eastAsia="SimSun" w:hAnsiTheme="majorBidi" w:cstheme="majorBidi"/>
        </w:rPr>
        <w:t xml:space="preserve">), </w:t>
      </w:r>
      <w:r w:rsidRPr="009B28E0">
        <w:rPr>
          <w:rFonts w:asciiTheme="majorBidi" w:hAnsiTheme="majorBidi" w:cstheme="majorBidi"/>
        </w:rPr>
        <w:t>a provider of remote monitoring and control systems and services for generators, pipelines and other industrial assets</w:t>
      </w:r>
      <w:r w:rsidR="002C7F12">
        <w:rPr>
          <w:rFonts w:asciiTheme="majorBidi" w:hAnsiTheme="majorBidi" w:cstheme="majorBidi"/>
        </w:rPr>
        <w:t xml:space="preserve"> through its OmniMetrix subsidiary</w:t>
      </w:r>
      <w:r w:rsidRPr="009B28E0">
        <w:rPr>
          <w:rFonts w:asciiTheme="majorBidi" w:hAnsiTheme="majorBidi" w:cstheme="majorBidi"/>
        </w:rPr>
        <w:t xml:space="preserve">, today announced results for its </w:t>
      </w:r>
      <w:r w:rsidR="00E57952">
        <w:rPr>
          <w:rFonts w:asciiTheme="majorBidi" w:hAnsiTheme="majorBidi" w:cstheme="majorBidi"/>
        </w:rPr>
        <w:t>fourth</w:t>
      </w:r>
      <w:r w:rsidR="00895B08" w:rsidRPr="009B28E0">
        <w:rPr>
          <w:rFonts w:asciiTheme="majorBidi" w:hAnsiTheme="majorBidi" w:cstheme="majorBidi"/>
        </w:rPr>
        <w:t xml:space="preserve"> </w:t>
      </w:r>
      <w:r w:rsidRPr="009B28E0">
        <w:rPr>
          <w:rFonts w:asciiTheme="majorBidi" w:hAnsiTheme="majorBidi" w:cstheme="majorBidi"/>
        </w:rPr>
        <w:t>quarter</w:t>
      </w:r>
      <w:r w:rsidR="00E57952">
        <w:rPr>
          <w:rFonts w:asciiTheme="majorBidi" w:hAnsiTheme="majorBidi" w:cstheme="majorBidi"/>
        </w:rPr>
        <w:t xml:space="preserve"> (Q4'18)</w:t>
      </w:r>
      <w:r w:rsidRPr="009B28E0">
        <w:rPr>
          <w:rFonts w:asciiTheme="majorBidi" w:hAnsiTheme="majorBidi" w:cstheme="majorBidi"/>
        </w:rPr>
        <w:t xml:space="preserve"> </w:t>
      </w:r>
      <w:r w:rsidR="00E57952">
        <w:rPr>
          <w:rFonts w:asciiTheme="majorBidi" w:hAnsiTheme="majorBidi" w:cstheme="majorBidi"/>
        </w:rPr>
        <w:t>and year ended Dec</w:t>
      </w:r>
      <w:r w:rsidR="00F1017F">
        <w:rPr>
          <w:rFonts w:asciiTheme="majorBidi" w:hAnsiTheme="majorBidi" w:cstheme="majorBidi"/>
        </w:rPr>
        <w:t>ember</w:t>
      </w:r>
      <w:r w:rsidR="00895B08" w:rsidRPr="009B28E0">
        <w:rPr>
          <w:rFonts w:asciiTheme="majorBidi" w:hAnsiTheme="majorBidi" w:cstheme="majorBidi"/>
        </w:rPr>
        <w:t xml:space="preserve"> </w:t>
      </w:r>
      <w:r w:rsidRPr="009B28E0">
        <w:rPr>
          <w:rFonts w:asciiTheme="majorBidi" w:hAnsiTheme="majorBidi" w:cstheme="majorBidi"/>
        </w:rPr>
        <w:t>3</w:t>
      </w:r>
      <w:r w:rsidR="002474D3">
        <w:rPr>
          <w:rFonts w:asciiTheme="majorBidi" w:hAnsiTheme="majorBidi" w:cstheme="majorBidi"/>
        </w:rPr>
        <w:t>1</w:t>
      </w:r>
      <w:r w:rsidRPr="009B28E0">
        <w:rPr>
          <w:rFonts w:asciiTheme="majorBidi" w:hAnsiTheme="majorBidi" w:cstheme="majorBidi"/>
        </w:rPr>
        <w:t xml:space="preserve">, 2018. </w:t>
      </w:r>
      <w:r w:rsidR="002C7F12">
        <w:rPr>
          <w:rFonts w:asciiTheme="majorBidi" w:eastAsia="SimSun" w:hAnsiTheme="majorBidi" w:cstheme="majorBidi"/>
        </w:rPr>
        <w:t>Acorn</w:t>
      </w:r>
      <w:r w:rsidRPr="009B28E0">
        <w:rPr>
          <w:rFonts w:asciiTheme="majorBidi" w:eastAsia="SimSun" w:hAnsiTheme="majorBidi" w:cstheme="majorBidi"/>
        </w:rPr>
        <w:t xml:space="preserve"> will</w:t>
      </w:r>
      <w:r w:rsidR="00E57952">
        <w:rPr>
          <w:rFonts w:asciiTheme="majorBidi" w:eastAsia="SimSun" w:hAnsiTheme="majorBidi" w:cstheme="majorBidi"/>
        </w:rPr>
        <w:t xml:space="preserve"> host a conference call today</w:t>
      </w:r>
      <w:r w:rsidRPr="009B28E0">
        <w:rPr>
          <w:rFonts w:asciiTheme="majorBidi" w:eastAsia="SimSun" w:hAnsiTheme="majorBidi" w:cstheme="majorBidi"/>
        </w:rPr>
        <w:t xml:space="preserve"> at 11:00 a.m. </w:t>
      </w:r>
      <w:r w:rsidR="00717916" w:rsidRPr="009B28E0">
        <w:rPr>
          <w:rFonts w:asciiTheme="majorBidi" w:eastAsia="SimSun" w:hAnsiTheme="majorBidi" w:cstheme="majorBidi"/>
        </w:rPr>
        <w:t>E</w:t>
      </w:r>
      <w:r w:rsidR="00717916">
        <w:rPr>
          <w:rFonts w:asciiTheme="majorBidi" w:eastAsia="SimSun" w:hAnsiTheme="majorBidi" w:cstheme="majorBidi"/>
        </w:rPr>
        <w:t>D</w:t>
      </w:r>
      <w:r w:rsidR="00717916" w:rsidRPr="009B28E0">
        <w:rPr>
          <w:rFonts w:asciiTheme="majorBidi" w:eastAsia="SimSun" w:hAnsiTheme="majorBidi" w:cstheme="majorBidi"/>
        </w:rPr>
        <w:t xml:space="preserve">T </w:t>
      </w:r>
      <w:r w:rsidRPr="009B28E0">
        <w:rPr>
          <w:rFonts w:asciiTheme="majorBidi" w:eastAsia="SimSun" w:hAnsiTheme="majorBidi" w:cstheme="majorBidi"/>
        </w:rPr>
        <w:t>(details below) to review its results and outlook.</w:t>
      </w:r>
    </w:p>
    <w:p w14:paraId="4B3D0807" w14:textId="77777777" w:rsidR="00E0638F" w:rsidRPr="00866D50" w:rsidRDefault="00E0638F" w:rsidP="00D061E0">
      <w:pPr>
        <w:spacing w:line="276" w:lineRule="auto"/>
        <w:rPr>
          <w:rFonts w:asciiTheme="majorBidi" w:eastAsia="SimSun" w:hAnsiTheme="majorBidi" w:cstheme="majorBidi"/>
        </w:rPr>
      </w:pPr>
    </w:p>
    <w:p w14:paraId="7F69CE87" w14:textId="77777777" w:rsidR="001616BE" w:rsidRPr="001858AD" w:rsidRDefault="00D061E0" w:rsidP="001616BE">
      <w:pPr>
        <w:spacing w:line="276" w:lineRule="auto"/>
        <w:rPr>
          <w:rFonts w:asciiTheme="majorBidi" w:hAnsiTheme="majorBidi" w:cstheme="majorBidi"/>
        </w:rPr>
      </w:pPr>
      <w:r w:rsidRPr="002D621E">
        <w:rPr>
          <w:rFonts w:asciiTheme="majorBidi" w:hAnsiTheme="majorBidi" w:cstheme="majorBidi"/>
        </w:rPr>
        <w:t xml:space="preserve">Jan Loeb, President and CEO of Acorn, commented, </w:t>
      </w:r>
      <w:r w:rsidR="00DD1B7B">
        <w:rPr>
          <w:rFonts w:asciiTheme="majorBidi" w:hAnsiTheme="majorBidi" w:cstheme="majorBidi"/>
        </w:rPr>
        <w:t>"</w:t>
      </w:r>
      <w:r w:rsidR="00762E18">
        <w:rPr>
          <w:rFonts w:asciiTheme="majorBidi" w:hAnsiTheme="majorBidi" w:cstheme="majorBidi"/>
        </w:rPr>
        <w:t>OmniMetrix</w:t>
      </w:r>
      <w:r w:rsidR="00717916">
        <w:rPr>
          <w:rFonts w:asciiTheme="majorBidi" w:hAnsiTheme="majorBidi" w:cstheme="majorBidi"/>
        </w:rPr>
        <w:t xml:space="preserve"> extend</w:t>
      </w:r>
      <w:r w:rsidR="00762E18">
        <w:rPr>
          <w:rFonts w:asciiTheme="majorBidi" w:hAnsiTheme="majorBidi" w:cstheme="majorBidi"/>
        </w:rPr>
        <w:t>ed</w:t>
      </w:r>
      <w:r w:rsidR="00717916">
        <w:rPr>
          <w:rFonts w:asciiTheme="majorBidi" w:hAnsiTheme="majorBidi" w:cstheme="majorBidi"/>
        </w:rPr>
        <w:t xml:space="preserve"> its </w:t>
      </w:r>
      <w:r w:rsidR="00B856F5">
        <w:rPr>
          <w:rFonts w:asciiTheme="majorBidi" w:hAnsiTheme="majorBidi" w:cstheme="majorBidi"/>
        </w:rPr>
        <w:t>revenue growth track record in 2018</w:t>
      </w:r>
      <w:r w:rsidR="00174CDD">
        <w:rPr>
          <w:rFonts w:asciiTheme="majorBidi" w:hAnsiTheme="majorBidi" w:cstheme="majorBidi"/>
        </w:rPr>
        <w:t xml:space="preserve"> –</w:t>
      </w:r>
      <w:r w:rsidR="00CD1975">
        <w:rPr>
          <w:rFonts w:asciiTheme="majorBidi" w:hAnsiTheme="majorBidi" w:cstheme="majorBidi"/>
        </w:rPr>
        <w:t xml:space="preserve"> </w:t>
      </w:r>
      <w:r w:rsidR="00630208">
        <w:rPr>
          <w:rFonts w:asciiTheme="majorBidi" w:hAnsiTheme="majorBidi" w:cstheme="majorBidi"/>
        </w:rPr>
        <w:t>though below our</w:t>
      </w:r>
      <w:r w:rsidR="00CD1975">
        <w:rPr>
          <w:rFonts w:asciiTheme="majorBidi" w:hAnsiTheme="majorBidi" w:cstheme="majorBidi"/>
        </w:rPr>
        <w:t xml:space="preserve"> growth goals</w:t>
      </w:r>
      <w:r w:rsidR="00174CDD">
        <w:rPr>
          <w:rFonts w:asciiTheme="majorBidi" w:hAnsiTheme="majorBidi" w:cstheme="majorBidi"/>
        </w:rPr>
        <w:t xml:space="preserve"> </w:t>
      </w:r>
      <w:r w:rsidR="00174CDD">
        <w:rPr>
          <w:rFonts w:asciiTheme="majorBidi" w:hAnsiTheme="majorBidi" w:cstheme="majorBidi"/>
        </w:rPr>
        <w:softHyphen/>
        <w:t>– and</w:t>
      </w:r>
      <w:r w:rsidR="00DC42CB">
        <w:rPr>
          <w:rFonts w:asciiTheme="majorBidi" w:hAnsiTheme="majorBidi" w:cstheme="majorBidi"/>
        </w:rPr>
        <w:t xml:space="preserve"> achie</w:t>
      </w:r>
      <w:r w:rsidR="005D11B9">
        <w:rPr>
          <w:rFonts w:asciiTheme="majorBidi" w:hAnsiTheme="majorBidi" w:cstheme="majorBidi"/>
        </w:rPr>
        <w:t>ved</w:t>
      </w:r>
      <w:r w:rsidR="00762E18">
        <w:rPr>
          <w:rFonts w:asciiTheme="majorBidi" w:hAnsiTheme="majorBidi" w:cstheme="majorBidi"/>
        </w:rPr>
        <w:t xml:space="preserve"> </w:t>
      </w:r>
      <w:r w:rsidR="005B593C">
        <w:rPr>
          <w:rFonts w:asciiTheme="majorBidi" w:hAnsiTheme="majorBidi" w:cstheme="majorBidi"/>
        </w:rPr>
        <w:t xml:space="preserve">for the first time </w:t>
      </w:r>
      <w:r w:rsidR="00DC42CB">
        <w:rPr>
          <w:rFonts w:asciiTheme="majorBidi" w:hAnsiTheme="majorBidi" w:cstheme="majorBidi"/>
        </w:rPr>
        <w:t xml:space="preserve">positive EBITDA and cash flow for the year. </w:t>
      </w:r>
      <w:r w:rsidR="00717916">
        <w:rPr>
          <w:rFonts w:asciiTheme="majorBidi" w:hAnsiTheme="majorBidi" w:cstheme="majorBidi"/>
        </w:rPr>
        <w:t xml:space="preserve">OmniMetrix </w:t>
      </w:r>
      <w:r w:rsidR="00613FD8">
        <w:rPr>
          <w:rFonts w:asciiTheme="majorBidi" w:hAnsiTheme="majorBidi" w:cstheme="majorBidi"/>
        </w:rPr>
        <w:t xml:space="preserve">also </w:t>
      </w:r>
      <w:r w:rsidR="00DC42CB">
        <w:rPr>
          <w:rFonts w:asciiTheme="majorBidi" w:hAnsiTheme="majorBidi" w:cstheme="majorBidi"/>
        </w:rPr>
        <w:t>posted</w:t>
      </w:r>
      <w:r w:rsidR="000F6D6D">
        <w:rPr>
          <w:rFonts w:asciiTheme="majorBidi" w:hAnsiTheme="majorBidi" w:cstheme="majorBidi"/>
        </w:rPr>
        <w:t xml:space="preserve"> its first positive operating p</w:t>
      </w:r>
      <w:r w:rsidR="006D300C">
        <w:rPr>
          <w:rFonts w:asciiTheme="majorBidi" w:hAnsiTheme="majorBidi" w:cstheme="majorBidi"/>
        </w:rPr>
        <w:t xml:space="preserve">rofit in the second half of </w:t>
      </w:r>
      <w:r w:rsidR="00FB2812">
        <w:rPr>
          <w:rFonts w:asciiTheme="majorBidi" w:hAnsiTheme="majorBidi" w:cstheme="majorBidi"/>
        </w:rPr>
        <w:t>2018</w:t>
      </w:r>
      <w:r w:rsidR="001858AD">
        <w:rPr>
          <w:rFonts w:asciiTheme="majorBidi" w:hAnsiTheme="majorBidi" w:cstheme="majorBidi"/>
        </w:rPr>
        <w:t xml:space="preserve">. </w:t>
      </w:r>
      <w:r w:rsidR="006D300C">
        <w:rPr>
          <w:rFonts w:asciiTheme="majorBidi" w:hAnsiTheme="majorBidi" w:cstheme="majorBidi"/>
        </w:rPr>
        <w:t xml:space="preserve">On a consolidated basis, </w:t>
      </w:r>
      <w:r w:rsidR="001616BE" w:rsidRPr="00374269">
        <w:rPr>
          <w:rFonts w:asciiTheme="majorBidi" w:hAnsiTheme="majorBidi" w:cstheme="majorBidi"/>
        </w:rPr>
        <w:t>Acorn</w:t>
      </w:r>
      <w:r w:rsidR="00B856F5">
        <w:rPr>
          <w:rFonts w:asciiTheme="majorBidi" w:hAnsiTheme="majorBidi" w:cstheme="majorBidi"/>
        </w:rPr>
        <w:t xml:space="preserve"> was able to </w:t>
      </w:r>
      <w:r w:rsidR="00A63C48">
        <w:rPr>
          <w:rFonts w:asciiTheme="majorBidi" w:hAnsiTheme="majorBidi" w:cstheme="majorBidi"/>
        </w:rPr>
        <w:t>trim</w:t>
      </w:r>
      <w:r w:rsidR="00B856F5">
        <w:rPr>
          <w:rFonts w:asciiTheme="majorBidi" w:hAnsiTheme="majorBidi" w:cstheme="majorBidi"/>
        </w:rPr>
        <w:t xml:space="preserve"> its </w:t>
      </w:r>
      <w:r w:rsidR="00B856F5">
        <w:rPr>
          <w:rFonts w:asciiTheme="majorBidi" w:hAnsiTheme="majorBidi" w:cstheme="majorBidi"/>
          <w:color w:val="000000" w:themeColor="text1"/>
        </w:rPr>
        <w:t>op</w:t>
      </w:r>
      <w:r w:rsidR="001616BE" w:rsidRPr="00374269">
        <w:rPr>
          <w:rFonts w:asciiTheme="majorBidi" w:hAnsiTheme="majorBidi" w:cstheme="majorBidi"/>
          <w:color w:val="000000" w:themeColor="text1"/>
        </w:rPr>
        <w:t xml:space="preserve">erating loss </w:t>
      </w:r>
      <w:r w:rsidR="00B856F5">
        <w:rPr>
          <w:rFonts w:asciiTheme="majorBidi" w:hAnsiTheme="majorBidi" w:cstheme="majorBidi"/>
          <w:color w:val="000000" w:themeColor="text1"/>
        </w:rPr>
        <w:t xml:space="preserve">by 28% or </w:t>
      </w:r>
      <w:r w:rsidR="00AB61CA" w:rsidRPr="005D2FFC">
        <w:rPr>
          <w:rFonts w:asciiTheme="majorBidi" w:hAnsiTheme="majorBidi" w:cstheme="majorBidi"/>
          <w:color w:val="000000" w:themeColor="text1"/>
        </w:rPr>
        <w:t>$535,000</w:t>
      </w:r>
      <w:r w:rsidR="001858AD">
        <w:rPr>
          <w:rFonts w:asciiTheme="majorBidi" w:hAnsiTheme="majorBidi" w:cstheme="majorBidi"/>
          <w:color w:val="000000" w:themeColor="text1"/>
        </w:rPr>
        <w:t xml:space="preserve"> </w:t>
      </w:r>
      <w:r w:rsidR="00B856F5">
        <w:rPr>
          <w:rFonts w:asciiTheme="majorBidi" w:hAnsiTheme="majorBidi" w:cstheme="majorBidi"/>
          <w:color w:val="000000" w:themeColor="text1"/>
        </w:rPr>
        <w:t>t</w:t>
      </w:r>
      <w:r w:rsidR="00296FB4">
        <w:rPr>
          <w:rFonts w:asciiTheme="majorBidi" w:hAnsiTheme="majorBidi" w:cstheme="majorBidi"/>
          <w:color w:val="000000" w:themeColor="text1"/>
        </w:rPr>
        <w:t>o $1.4 million</w:t>
      </w:r>
      <w:r w:rsidR="002D44AC">
        <w:rPr>
          <w:rFonts w:asciiTheme="majorBidi" w:hAnsiTheme="majorBidi" w:cstheme="majorBidi"/>
          <w:color w:val="000000" w:themeColor="text1"/>
        </w:rPr>
        <w:t xml:space="preserve"> </w:t>
      </w:r>
      <w:r w:rsidR="0044477C">
        <w:rPr>
          <w:rFonts w:asciiTheme="majorBidi" w:hAnsiTheme="majorBidi" w:cstheme="majorBidi"/>
          <w:color w:val="000000" w:themeColor="text1"/>
        </w:rPr>
        <w:t xml:space="preserve">in 2018 </w:t>
      </w:r>
      <w:r w:rsidR="002D44AC">
        <w:rPr>
          <w:rFonts w:asciiTheme="majorBidi" w:hAnsiTheme="majorBidi" w:cstheme="majorBidi"/>
          <w:color w:val="000000" w:themeColor="text1"/>
        </w:rPr>
        <w:t>versus $1.9 million in</w:t>
      </w:r>
      <w:r w:rsidR="00B856F5">
        <w:rPr>
          <w:rFonts w:asciiTheme="majorBidi" w:hAnsiTheme="majorBidi" w:cstheme="majorBidi"/>
          <w:color w:val="000000" w:themeColor="text1"/>
        </w:rPr>
        <w:t xml:space="preserve"> 2017. </w:t>
      </w:r>
    </w:p>
    <w:p w14:paraId="19251704" w14:textId="77777777" w:rsidR="00F1017F" w:rsidRDefault="00F1017F">
      <w:pPr>
        <w:spacing w:line="276" w:lineRule="auto"/>
        <w:rPr>
          <w:rFonts w:asciiTheme="majorBidi" w:hAnsiTheme="majorBidi" w:cstheme="majorBidi"/>
        </w:rPr>
      </w:pPr>
      <w:bookmarkStart w:id="0" w:name="_GoBack"/>
      <w:bookmarkEnd w:id="0"/>
    </w:p>
    <w:p w14:paraId="3EF0C59A" w14:textId="77777777" w:rsidR="001616BE" w:rsidRPr="0099210B" w:rsidRDefault="00ED5DD8" w:rsidP="005F721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FA1A91">
        <w:rPr>
          <w:rFonts w:asciiTheme="majorBidi" w:hAnsiTheme="majorBidi" w:cstheme="majorBidi"/>
        </w:rPr>
        <w:t xml:space="preserve">Recent </w:t>
      </w:r>
      <w:r w:rsidR="00EA18C9">
        <w:rPr>
          <w:rFonts w:asciiTheme="majorBidi" w:hAnsiTheme="majorBidi" w:cstheme="majorBidi"/>
        </w:rPr>
        <w:t>introduction</w:t>
      </w:r>
      <w:r w:rsidR="00FA1A91">
        <w:rPr>
          <w:rFonts w:asciiTheme="majorBidi" w:hAnsiTheme="majorBidi" w:cstheme="majorBidi"/>
        </w:rPr>
        <w:t>s</w:t>
      </w:r>
      <w:r w:rsidR="00EA18C9">
        <w:rPr>
          <w:rFonts w:asciiTheme="majorBidi" w:hAnsiTheme="majorBidi" w:cstheme="majorBidi"/>
        </w:rPr>
        <w:t xml:space="preserve"> of n</w:t>
      </w:r>
      <w:r w:rsidR="00C94B44">
        <w:rPr>
          <w:rFonts w:asciiTheme="majorBidi" w:hAnsiTheme="majorBidi" w:cstheme="majorBidi"/>
        </w:rPr>
        <w:t>ext</w:t>
      </w:r>
      <w:r w:rsidR="00B856F5">
        <w:rPr>
          <w:rFonts w:asciiTheme="majorBidi" w:hAnsiTheme="majorBidi" w:cstheme="majorBidi"/>
        </w:rPr>
        <w:t>-</w:t>
      </w:r>
      <w:r w:rsidR="00C94B44">
        <w:rPr>
          <w:rFonts w:asciiTheme="majorBidi" w:hAnsiTheme="majorBidi" w:cstheme="majorBidi"/>
        </w:rPr>
        <w:t>generation</w:t>
      </w:r>
      <w:r w:rsidR="00B856F5">
        <w:rPr>
          <w:rFonts w:asciiTheme="majorBidi" w:hAnsiTheme="majorBidi" w:cstheme="majorBidi"/>
        </w:rPr>
        <w:t xml:space="preserve">, </w:t>
      </w:r>
      <w:r w:rsidR="00C94B44">
        <w:rPr>
          <w:rFonts w:asciiTheme="majorBidi" w:hAnsiTheme="majorBidi" w:cstheme="majorBidi"/>
        </w:rPr>
        <w:t>higher-performance</w:t>
      </w:r>
      <w:r w:rsidR="00EA18C9">
        <w:rPr>
          <w:rFonts w:asciiTheme="majorBidi" w:hAnsiTheme="majorBidi" w:cstheme="majorBidi"/>
        </w:rPr>
        <w:t xml:space="preserve"> products</w:t>
      </w:r>
      <w:r w:rsidR="00C94B44">
        <w:rPr>
          <w:rFonts w:asciiTheme="majorBidi" w:hAnsiTheme="majorBidi" w:cstheme="majorBidi"/>
        </w:rPr>
        <w:t xml:space="preserve"> in our Power Generation segment</w:t>
      </w:r>
      <w:r w:rsidR="0099210B">
        <w:rPr>
          <w:rFonts w:asciiTheme="majorBidi" w:hAnsiTheme="majorBidi" w:cstheme="majorBidi"/>
        </w:rPr>
        <w:t xml:space="preserve"> </w:t>
      </w:r>
      <w:r w:rsidR="00B856F5">
        <w:rPr>
          <w:rFonts w:asciiTheme="majorBidi" w:hAnsiTheme="majorBidi" w:cstheme="majorBidi"/>
        </w:rPr>
        <w:t>contributed to a</w:t>
      </w:r>
      <w:r w:rsidR="000F6E68">
        <w:rPr>
          <w:rFonts w:asciiTheme="majorBidi" w:hAnsiTheme="majorBidi" w:cstheme="majorBidi"/>
        </w:rPr>
        <w:t xml:space="preserve">n increase in </w:t>
      </w:r>
      <w:r w:rsidR="0099210B">
        <w:rPr>
          <w:rFonts w:asciiTheme="majorBidi" w:hAnsiTheme="majorBidi" w:cstheme="majorBidi"/>
        </w:rPr>
        <w:t>OmniMetrix</w:t>
      </w:r>
      <w:r w:rsidR="000F6E68">
        <w:rPr>
          <w:rFonts w:asciiTheme="majorBidi" w:hAnsiTheme="majorBidi" w:cstheme="majorBidi"/>
        </w:rPr>
        <w:t xml:space="preserve">’s </w:t>
      </w:r>
      <w:r>
        <w:rPr>
          <w:rFonts w:asciiTheme="majorBidi" w:hAnsiTheme="majorBidi" w:cstheme="majorBidi"/>
        </w:rPr>
        <w:t>gross margin</w:t>
      </w:r>
      <w:r w:rsidR="00B856F5">
        <w:rPr>
          <w:rFonts w:asciiTheme="majorBidi" w:hAnsiTheme="majorBidi" w:cstheme="majorBidi"/>
        </w:rPr>
        <w:t xml:space="preserve"> t</w:t>
      </w:r>
      <w:r w:rsidR="002C7F12">
        <w:rPr>
          <w:rFonts w:asciiTheme="majorBidi" w:hAnsiTheme="majorBidi" w:cstheme="majorBidi"/>
        </w:rPr>
        <w:t xml:space="preserve">o </w:t>
      </w:r>
      <w:r w:rsidR="003D4A06">
        <w:rPr>
          <w:rFonts w:asciiTheme="majorBidi" w:hAnsiTheme="majorBidi" w:cstheme="majorBidi"/>
        </w:rPr>
        <w:t>61% in 2018 versus 56</w:t>
      </w:r>
      <w:r w:rsidR="005F721C">
        <w:rPr>
          <w:rFonts w:asciiTheme="majorBidi" w:hAnsiTheme="majorBidi" w:cstheme="majorBidi"/>
        </w:rPr>
        <w:t>% in 20</w:t>
      </w:r>
      <w:r w:rsidR="004C6CF2">
        <w:rPr>
          <w:rFonts w:asciiTheme="majorBidi" w:hAnsiTheme="majorBidi" w:cstheme="majorBidi"/>
        </w:rPr>
        <w:t>17</w:t>
      </w:r>
      <w:r w:rsidR="0088144C">
        <w:rPr>
          <w:rFonts w:asciiTheme="majorBidi" w:hAnsiTheme="majorBidi" w:cstheme="majorBidi"/>
        </w:rPr>
        <w:t>.</w:t>
      </w:r>
      <w:r w:rsidR="002C7F12">
        <w:rPr>
          <w:rFonts w:asciiTheme="majorBidi" w:hAnsiTheme="majorBidi" w:cstheme="majorBidi"/>
        </w:rPr>
        <w:t xml:space="preserve"> </w:t>
      </w:r>
      <w:r w:rsidR="00B856F5">
        <w:rPr>
          <w:rFonts w:asciiTheme="majorBidi" w:hAnsiTheme="majorBidi" w:cstheme="majorBidi"/>
        </w:rPr>
        <w:t>We also continue</w:t>
      </w:r>
      <w:r w:rsidR="00D148C2">
        <w:rPr>
          <w:rFonts w:asciiTheme="majorBidi" w:hAnsiTheme="majorBidi" w:cstheme="majorBidi"/>
        </w:rPr>
        <w:t>d</w:t>
      </w:r>
      <w:r w:rsidR="00B856F5">
        <w:rPr>
          <w:rFonts w:asciiTheme="majorBidi" w:hAnsiTheme="majorBidi" w:cstheme="majorBidi"/>
        </w:rPr>
        <w:t xml:space="preserve"> to invest in expanding our product line and capabilities to support long term growth. In Q4’18</w:t>
      </w:r>
      <w:r w:rsidR="000F6E68">
        <w:rPr>
          <w:rFonts w:asciiTheme="majorBidi" w:hAnsiTheme="majorBidi" w:cstheme="majorBidi"/>
        </w:rPr>
        <w:t>,</w:t>
      </w:r>
      <w:r w:rsidR="00B856F5">
        <w:rPr>
          <w:rFonts w:asciiTheme="majorBidi" w:hAnsiTheme="majorBidi" w:cstheme="majorBidi"/>
        </w:rPr>
        <w:t xml:space="preserve"> we launched our </w:t>
      </w:r>
      <w:hyperlink r:id="rId11" w:history="1">
        <w:r w:rsidR="00C94B44" w:rsidRPr="006D3E87">
          <w:rPr>
            <w:rStyle w:val="Hyperlink"/>
            <w:rFonts w:asciiTheme="majorBidi" w:hAnsiTheme="majorBidi" w:cstheme="majorBidi"/>
            <w:i/>
            <w:color w:val="0070C0"/>
          </w:rPr>
          <w:t>Hero 2</w:t>
        </w:r>
      </w:hyperlink>
      <w:r w:rsidR="00C94B44">
        <w:rPr>
          <w:rFonts w:asciiTheme="majorBidi" w:hAnsiTheme="majorBidi" w:cstheme="majorBidi"/>
        </w:rPr>
        <w:t xml:space="preserve"> Rectifier Monitor</w:t>
      </w:r>
      <w:r w:rsidR="00C94B44">
        <w:rPr>
          <w:rFonts w:ascii="Times New Roman" w:hAnsi="Times New Roman"/>
        </w:rPr>
        <w:t xml:space="preserve"> </w:t>
      </w:r>
      <w:r w:rsidR="000F6E68">
        <w:rPr>
          <w:rFonts w:ascii="Times New Roman" w:hAnsi="Times New Roman"/>
        </w:rPr>
        <w:t xml:space="preserve">for pipeline protection </w:t>
      </w:r>
      <w:r w:rsidR="00C94B44">
        <w:rPr>
          <w:rFonts w:ascii="Times New Roman" w:hAnsi="Times New Roman"/>
        </w:rPr>
        <w:t xml:space="preserve">and </w:t>
      </w:r>
      <w:r w:rsidR="00F550A5">
        <w:rPr>
          <w:rFonts w:ascii="Times New Roman" w:hAnsi="Times New Roman"/>
        </w:rPr>
        <w:t xml:space="preserve">debuted our </w:t>
      </w:r>
      <w:r w:rsidR="005F721C" w:rsidRPr="005F721C">
        <w:rPr>
          <w:rFonts w:ascii="Times New Roman" w:hAnsi="Times New Roman"/>
        </w:rPr>
        <w:t xml:space="preserve">new </w:t>
      </w:r>
      <w:hyperlink r:id="rId12" w:history="1">
        <w:proofErr w:type="spellStart"/>
        <w:r w:rsidR="005F721C" w:rsidRPr="00845744">
          <w:rPr>
            <w:rStyle w:val="Hyperlink"/>
            <w:rFonts w:ascii="Times New Roman" w:hAnsi="Times New Roman"/>
            <w:b/>
            <w:i/>
            <w:color w:val="0070C0"/>
          </w:rPr>
          <w:t>AIR</w:t>
        </w:r>
        <w:r w:rsidR="005F721C" w:rsidRPr="00845744">
          <w:rPr>
            <w:rStyle w:val="Hyperlink"/>
            <w:rFonts w:ascii="Times New Roman" w:hAnsi="Times New Roman"/>
            <w:color w:val="0070C0"/>
          </w:rPr>
          <w:t>Guard</w:t>
        </w:r>
        <w:proofErr w:type="spellEnd"/>
      </w:hyperlink>
      <w:r w:rsidR="005F721C" w:rsidRPr="005F721C">
        <w:rPr>
          <w:rFonts w:ascii="Times New Roman" w:hAnsi="Times New Roman"/>
        </w:rPr>
        <w:t xml:space="preserve"> monitoring and control solution</w:t>
      </w:r>
      <w:r w:rsidR="00F550A5">
        <w:rPr>
          <w:rFonts w:ascii="Times New Roman" w:hAnsi="Times New Roman"/>
        </w:rPr>
        <w:t xml:space="preserve">, expanding </w:t>
      </w:r>
      <w:r w:rsidR="000F6E68">
        <w:rPr>
          <w:rFonts w:ascii="Times New Roman" w:hAnsi="Times New Roman"/>
        </w:rPr>
        <w:t xml:space="preserve">our sales reach into the </w:t>
      </w:r>
      <w:r w:rsidR="005F721C" w:rsidRPr="005F721C">
        <w:rPr>
          <w:rFonts w:ascii="Times New Roman" w:hAnsi="Times New Roman"/>
        </w:rPr>
        <w:t>industrial air compressor</w:t>
      </w:r>
      <w:r w:rsidR="000F6E68">
        <w:rPr>
          <w:rFonts w:ascii="Times New Roman" w:hAnsi="Times New Roman"/>
        </w:rPr>
        <w:t xml:space="preserve"> market</w:t>
      </w:r>
      <w:r w:rsidR="005F721C">
        <w:rPr>
          <w:rFonts w:ascii="Times New Roman" w:hAnsi="Times New Roman"/>
        </w:rPr>
        <w:t xml:space="preserve">. </w:t>
      </w:r>
    </w:p>
    <w:p w14:paraId="35D973EC" w14:textId="77777777" w:rsidR="0088144C" w:rsidRDefault="0088144C" w:rsidP="00D061E0">
      <w:pPr>
        <w:spacing w:line="276" w:lineRule="auto"/>
        <w:rPr>
          <w:rFonts w:asciiTheme="majorBidi" w:hAnsiTheme="majorBidi" w:cstheme="majorBidi"/>
        </w:rPr>
      </w:pPr>
    </w:p>
    <w:p w14:paraId="7240E971" w14:textId="482DDED4" w:rsidR="00E0638F" w:rsidRDefault="0088144C" w:rsidP="00E631C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3F2643">
        <w:rPr>
          <w:rFonts w:asciiTheme="majorBidi" w:hAnsiTheme="majorBidi" w:cstheme="majorBidi"/>
        </w:rPr>
        <w:t>W</w:t>
      </w:r>
      <w:r w:rsidR="000F6E68">
        <w:rPr>
          <w:rFonts w:asciiTheme="majorBidi" w:hAnsiTheme="majorBidi" w:cstheme="majorBidi"/>
        </w:rPr>
        <w:t xml:space="preserve">hile we continue to seek complementary acquisition opportunities to </w:t>
      </w:r>
      <w:r w:rsidR="00F550A5">
        <w:rPr>
          <w:rFonts w:asciiTheme="majorBidi" w:hAnsiTheme="majorBidi" w:cstheme="majorBidi"/>
        </w:rPr>
        <w:t xml:space="preserve">expand </w:t>
      </w:r>
      <w:r w:rsidR="000F6E68">
        <w:rPr>
          <w:rFonts w:asciiTheme="majorBidi" w:hAnsiTheme="majorBidi" w:cstheme="majorBidi"/>
        </w:rPr>
        <w:t xml:space="preserve">our </w:t>
      </w:r>
      <w:r w:rsidR="00F550A5">
        <w:rPr>
          <w:rFonts w:asciiTheme="majorBidi" w:hAnsiTheme="majorBidi" w:cstheme="majorBidi"/>
        </w:rPr>
        <w:t xml:space="preserve">revenue base and better leverage our management and industry expertise, public company structure, and </w:t>
      </w:r>
      <w:r w:rsidR="003F2643">
        <w:rPr>
          <w:rFonts w:asciiTheme="majorBidi" w:hAnsiTheme="majorBidi" w:cstheme="majorBidi"/>
        </w:rPr>
        <w:t>over $60 million in operating loss carryforwards</w:t>
      </w:r>
      <w:r w:rsidR="009C5A24">
        <w:rPr>
          <w:rFonts w:asciiTheme="majorBidi" w:hAnsiTheme="majorBidi" w:cstheme="majorBidi"/>
        </w:rPr>
        <w:t>,</w:t>
      </w:r>
      <w:r w:rsidR="003F2643">
        <w:rPr>
          <w:rFonts w:asciiTheme="majorBidi" w:hAnsiTheme="majorBidi" w:cstheme="majorBidi"/>
        </w:rPr>
        <w:t xml:space="preserve"> </w:t>
      </w:r>
      <w:r w:rsidR="00F550A5">
        <w:rPr>
          <w:rFonts w:asciiTheme="majorBidi" w:hAnsiTheme="majorBidi" w:cstheme="majorBidi"/>
        </w:rPr>
        <w:t xml:space="preserve">we’ve not yet </w:t>
      </w:r>
      <w:r w:rsidR="000A7E31">
        <w:rPr>
          <w:rFonts w:asciiTheme="majorBidi" w:hAnsiTheme="majorBidi" w:cstheme="majorBidi"/>
        </w:rPr>
        <w:t>identified an accretive</w:t>
      </w:r>
      <w:r w:rsidR="00F550A5">
        <w:rPr>
          <w:rFonts w:asciiTheme="majorBidi" w:hAnsiTheme="majorBidi" w:cstheme="majorBidi"/>
        </w:rPr>
        <w:t xml:space="preserve"> transaction that </w:t>
      </w:r>
      <w:r w:rsidR="00DC6B19">
        <w:rPr>
          <w:rFonts w:asciiTheme="majorBidi" w:hAnsiTheme="majorBidi" w:cstheme="majorBidi"/>
        </w:rPr>
        <w:t>would make</w:t>
      </w:r>
      <w:r w:rsidR="00F550A5">
        <w:rPr>
          <w:rFonts w:asciiTheme="majorBidi" w:hAnsiTheme="majorBidi" w:cstheme="majorBidi"/>
        </w:rPr>
        <w:t xml:space="preserve"> sense for our shareholders. In the interim, we continue to build value in OmniMetrix</w:t>
      </w:r>
      <w:r w:rsidR="00183754">
        <w:rPr>
          <w:rFonts w:asciiTheme="majorBidi" w:hAnsiTheme="majorBidi" w:cstheme="majorBidi"/>
        </w:rPr>
        <w:t>,</w:t>
      </w:r>
      <w:r w:rsidR="00F550A5">
        <w:rPr>
          <w:rFonts w:asciiTheme="majorBidi" w:hAnsiTheme="majorBidi" w:cstheme="majorBidi"/>
        </w:rPr>
        <w:t xml:space="preserve"> which is a very attractive asset given its recurring revenue streams, </w:t>
      </w:r>
      <w:r w:rsidR="000B3FCD">
        <w:rPr>
          <w:rFonts w:asciiTheme="majorBidi" w:hAnsiTheme="majorBidi" w:cstheme="majorBidi"/>
        </w:rPr>
        <w:t>gross margin profile and substantial growth potential.</w:t>
      </w:r>
      <w:r w:rsidR="00553CAE">
        <w:rPr>
          <w:rFonts w:asciiTheme="majorBidi" w:hAnsiTheme="majorBidi" w:cstheme="majorBidi"/>
        </w:rPr>
        <w:t xml:space="preserve"> We believe this business can continue to grow organic</w:t>
      </w:r>
      <w:r w:rsidR="00174CDD">
        <w:rPr>
          <w:rFonts w:asciiTheme="majorBidi" w:hAnsiTheme="majorBidi" w:cstheme="majorBidi"/>
        </w:rPr>
        <w:t>ally</w:t>
      </w:r>
      <w:r w:rsidR="00553CAE">
        <w:rPr>
          <w:rFonts w:asciiTheme="majorBidi" w:hAnsiTheme="majorBidi" w:cstheme="majorBidi"/>
        </w:rPr>
        <w:t xml:space="preserve"> at</w:t>
      </w:r>
      <w:r w:rsidR="00174CDD">
        <w:rPr>
          <w:rFonts w:asciiTheme="majorBidi" w:hAnsiTheme="majorBidi" w:cstheme="majorBidi"/>
        </w:rPr>
        <w:t xml:space="preserve"> </w:t>
      </w:r>
      <w:r w:rsidR="00553CAE">
        <w:rPr>
          <w:rFonts w:asciiTheme="majorBidi" w:hAnsiTheme="majorBidi" w:cstheme="majorBidi"/>
        </w:rPr>
        <w:t>20% per year</w:t>
      </w:r>
      <w:r w:rsidR="00174CDD">
        <w:rPr>
          <w:rFonts w:asciiTheme="majorBidi" w:hAnsiTheme="majorBidi" w:cstheme="majorBidi"/>
        </w:rPr>
        <w:t xml:space="preserve"> on average</w:t>
      </w:r>
      <w:r w:rsidR="00553CAE">
        <w:rPr>
          <w:rFonts w:asciiTheme="majorBidi" w:hAnsiTheme="majorBidi" w:cstheme="majorBidi"/>
        </w:rPr>
        <w:t>.”</w:t>
      </w:r>
      <w:r w:rsidR="000B3FCD">
        <w:rPr>
          <w:rFonts w:asciiTheme="majorBidi" w:hAnsiTheme="majorBidi" w:cstheme="majorBidi"/>
        </w:rPr>
        <w:t xml:space="preserve"> </w:t>
      </w:r>
    </w:p>
    <w:p w14:paraId="3F48838B" w14:textId="77777777" w:rsidR="00D061E0" w:rsidRPr="00866D50" w:rsidRDefault="00D061E0" w:rsidP="00D061E0">
      <w:pPr>
        <w:spacing w:line="276" w:lineRule="auto"/>
        <w:rPr>
          <w:rFonts w:asciiTheme="majorBidi" w:hAnsiTheme="majorBidi" w:cstheme="majorBidi"/>
        </w:rPr>
      </w:pPr>
    </w:p>
    <w:p w14:paraId="5BEB5020" w14:textId="77777777" w:rsidR="007462EC" w:rsidRDefault="00A73C19" w:rsidP="00353CB5">
      <w:pPr>
        <w:spacing w:line="276" w:lineRule="auto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OmniMetrix </w:t>
      </w:r>
      <w:r w:rsidR="00D061E0" w:rsidRPr="00866D50">
        <w:rPr>
          <w:rFonts w:asciiTheme="majorBidi" w:hAnsiTheme="majorBidi" w:cstheme="majorBidi"/>
          <w:b/>
          <w:color w:val="000000" w:themeColor="text1"/>
        </w:rPr>
        <w:t>Financial Results</w:t>
      </w:r>
      <w:r w:rsidR="000B3FCD">
        <w:rPr>
          <w:rFonts w:asciiTheme="majorBidi" w:hAnsiTheme="majorBidi" w:cstheme="majorBidi"/>
          <w:b/>
          <w:color w:val="000000" w:themeColor="text1"/>
        </w:rPr>
        <w:t xml:space="preserve">  </w:t>
      </w:r>
    </w:p>
    <w:p w14:paraId="6D6DB34A" w14:textId="77777777" w:rsidR="008036F0" w:rsidRPr="008036F0" w:rsidRDefault="008036F0" w:rsidP="00353CB5">
      <w:pPr>
        <w:spacing w:line="276" w:lineRule="auto"/>
        <w:rPr>
          <w:rFonts w:asciiTheme="majorBidi" w:hAnsiTheme="majorBidi" w:cstheme="majorBidi"/>
          <w:b/>
          <w:color w:val="000000" w:themeColor="text1"/>
        </w:rPr>
      </w:pPr>
    </w:p>
    <w:tbl>
      <w:tblPr>
        <w:tblStyle w:val="TableGrid"/>
        <w:tblW w:w="9090" w:type="dxa"/>
        <w:tblLayout w:type="fixed"/>
        <w:tblLook w:val="04A0" w:firstRow="1" w:lastRow="0" w:firstColumn="1" w:lastColumn="0" w:noHBand="0" w:noVBand="1"/>
      </w:tblPr>
      <w:tblGrid>
        <w:gridCol w:w="2017"/>
        <w:gridCol w:w="1213"/>
        <w:gridCol w:w="1141"/>
        <w:gridCol w:w="1191"/>
        <w:gridCol w:w="1188"/>
        <w:gridCol w:w="1170"/>
        <w:gridCol w:w="1170"/>
      </w:tblGrid>
      <w:tr w:rsidR="00A45B62" w:rsidRPr="00103ADC" w14:paraId="0C60547D" w14:textId="77777777" w:rsidTr="00A45B62">
        <w:trPr>
          <w:trHeight w:val="25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40BA8" w14:textId="77777777" w:rsidR="003F10DD" w:rsidRDefault="003F10DD" w:rsidP="000B3FCD">
            <w:pPr>
              <w:rPr>
                <w:rFonts w:asciiTheme="majorBidi" w:eastAsia="Cambria" w:hAnsiTheme="majorBidi" w:cstheme="majorBidi"/>
                <w:color w:val="000000" w:themeColor="text1"/>
              </w:rPr>
            </w:pPr>
            <w:r w:rsidRPr="009B2512">
              <w:rPr>
                <w:rFonts w:asciiTheme="majorBidi" w:eastAsia="Cambria" w:hAnsiTheme="majorBidi" w:cstheme="majorBidi"/>
                <w:color w:val="000000" w:themeColor="text1"/>
              </w:rPr>
              <w:t>($ in thousands)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BFE38D" w14:textId="77777777" w:rsidR="003F10DD" w:rsidRPr="00E95D7A" w:rsidRDefault="003F10DD">
            <w:pP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E95D7A">
              <w:rPr>
                <w:rFonts w:asciiTheme="majorBidi" w:eastAsia="Cambria" w:hAnsiTheme="majorBidi" w:cstheme="majorBidi"/>
                <w:b/>
                <w:color w:val="000000" w:themeColor="text1"/>
              </w:rPr>
              <w:t>Q4'18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988E9" w14:textId="77777777" w:rsidR="003F10DD" w:rsidRPr="0060629D" w:rsidRDefault="003F10DD">
            <w:pP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60629D">
              <w:rPr>
                <w:rFonts w:asciiTheme="majorBidi" w:eastAsia="Cambria" w:hAnsiTheme="majorBidi" w:cstheme="majorBidi"/>
                <w:b/>
                <w:color w:val="000000" w:themeColor="text1"/>
              </w:rPr>
              <w:t>Q4'17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65A0A" w14:textId="77777777" w:rsidR="003F10DD" w:rsidRPr="0060629D" w:rsidRDefault="003F10DD">
            <w:pP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60629D">
              <w:rPr>
                <w:rFonts w:asciiTheme="majorBidi" w:eastAsia="Cambria" w:hAnsiTheme="majorBidi" w:cstheme="majorBidi"/>
                <w:b/>
                <w:color w:val="000000" w:themeColor="text1"/>
              </w:rPr>
              <w:t>Change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142B" w14:textId="77777777" w:rsidR="003F10DD" w:rsidRPr="0060629D" w:rsidRDefault="003F10DD">
            <w:pP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60629D">
              <w:rPr>
                <w:rFonts w:asciiTheme="majorBidi" w:eastAsia="Cambria" w:hAnsiTheme="majorBidi" w:cstheme="majorBidi"/>
                <w:b/>
                <w:color w:val="000000" w:themeColor="text1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763A1" w14:textId="77777777" w:rsidR="003F10DD" w:rsidRPr="00E25767" w:rsidRDefault="003F10DD">
            <w:pP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>
              <w:rPr>
                <w:rFonts w:asciiTheme="majorBidi" w:eastAsia="Cambria" w:hAnsiTheme="majorBidi" w:cstheme="majorBidi"/>
                <w:b/>
                <w:color w:val="000000" w:themeColor="text1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5DF32" w14:textId="77777777" w:rsidR="003F10DD" w:rsidRPr="00E25767" w:rsidRDefault="003F10DD">
            <w:pP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>
              <w:rPr>
                <w:rFonts w:ascii="Times New Roman" w:eastAsia="Cambria" w:hAnsi="Times New Roman"/>
                <w:b/>
                <w:color w:val="000000" w:themeColor="text1"/>
              </w:rPr>
              <w:t>Change</w:t>
            </w:r>
          </w:p>
        </w:tc>
      </w:tr>
      <w:tr w:rsidR="00A45B62" w:rsidRPr="001B4404" w14:paraId="7E33BFA3" w14:textId="77777777" w:rsidTr="00A45B62">
        <w:trPr>
          <w:trHeight w:val="25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95F249" w14:textId="77777777" w:rsidR="003F10DD" w:rsidRPr="009B2512" w:rsidRDefault="003F10DD" w:rsidP="000B3FCD">
            <w:pPr>
              <w:rPr>
                <w:rFonts w:asciiTheme="majorBidi" w:eastAsia="Cambria" w:hAnsiTheme="majorBidi" w:cstheme="majorBidi"/>
                <w:color w:val="000000" w:themeColor="text1"/>
              </w:rPr>
            </w:pPr>
            <w:r>
              <w:rPr>
                <w:rFonts w:asciiTheme="majorBidi" w:eastAsia="Cambria" w:hAnsiTheme="majorBidi" w:cstheme="majorBidi"/>
                <w:color w:val="000000" w:themeColor="text1"/>
              </w:rPr>
              <w:t>Monitoring revenue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7CC12C" w14:textId="77777777" w:rsidR="003F10DD" w:rsidRPr="00496B31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 w:rsidRPr="00496B31">
              <w:rPr>
                <w:rFonts w:asciiTheme="majorBidi" w:eastAsia="Cambria" w:hAnsiTheme="majorBidi" w:cstheme="majorBidi"/>
                <w:color w:val="000000" w:themeColor="text1"/>
              </w:rPr>
              <w:t xml:space="preserve">$     </w:t>
            </w:r>
            <w:r w:rsidR="0060629D" w:rsidRPr="00496B31">
              <w:rPr>
                <w:rFonts w:asciiTheme="majorBidi" w:eastAsia="Cambria" w:hAnsiTheme="majorBidi" w:cstheme="majorBidi"/>
                <w:color w:val="000000" w:themeColor="text1"/>
              </w:rPr>
              <w:t>722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0B88FB" w14:textId="77777777" w:rsidR="003F10DD" w:rsidRPr="00496B31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 w:rsidRPr="00496B31">
              <w:rPr>
                <w:rFonts w:asciiTheme="majorBidi" w:eastAsia="Cambria" w:hAnsiTheme="majorBidi" w:cstheme="majorBidi"/>
                <w:color w:val="000000" w:themeColor="text1"/>
              </w:rPr>
              <w:t xml:space="preserve">$    </w:t>
            </w:r>
            <w:r w:rsidR="0060629D" w:rsidRPr="00496B31">
              <w:rPr>
                <w:rFonts w:asciiTheme="majorBidi" w:eastAsia="Cambria" w:hAnsiTheme="majorBidi" w:cstheme="majorBidi"/>
                <w:color w:val="000000" w:themeColor="text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92D06A" w14:textId="77777777" w:rsidR="003F10DD" w:rsidRPr="00496B31" w:rsidRDefault="0060629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 w:rsidRPr="00496B31">
              <w:rPr>
                <w:rFonts w:asciiTheme="majorBidi" w:eastAsia="Cambria" w:hAnsiTheme="majorBidi" w:cstheme="majorBidi"/>
                <w:color w:val="000000" w:themeColor="text1"/>
              </w:rPr>
              <w:t>20</w:t>
            </w:r>
            <w:r w:rsidR="003F10DD" w:rsidRPr="00496B31">
              <w:rPr>
                <w:rFonts w:asciiTheme="majorBidi" w:eastAsia="Cambria" w:hAnsiTheme="majorBidi" w:cstheme="majorBidi"/>
                <w:color w:val="000000" w:themeColor="text1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3413" w14:textId="77777777" w:rsidR="003F10DD" w:rsidRPr="00496B31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 w:rsidRPr="00E95D7A">
              <w:rPr>
                <w:rFonts w:ascii="Times New Roman" w:eastAsia="Cambria" w:hAnsi="Times New Roman"/>
                <w:color w:val="000000" w:themeColor="text1"/>
              </w:rPr>
              <w:t xml:space="preserve">$      </w:t>
            </w:r>
            <w:r w:rsidR="0060629D" w:rsidRPr="00E95D7A">
              <w:rPr>
                <w:rFonts w:ascii="Times New Roman" w:eastAsia="Cambria" w:hAnsi="Times New Roman"/>
                <w:color w:val="000000" w:themeColor="text1"/>
              </w:rPr>
              <w:t>2,712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6DE7" w14:textId="77777777" w:rsidR="003F10DD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highlight w:val="green"/>
              </w:rPr>
            </w:pPr>
            <w:r>
              <w:rPr>
                <w:rFonts w:ascii="Times New Roman" w:eastAsia="Cambria" w:hAnsi="Times New Roman"/>
                <w:color w:val="000000" w:themeColor="text1"/>
              </w:rPr>
              <w:t xml:space="preserve">$     </w:t>
            </w:r>
            <w:r w:rsidR="0060629D">
              <w:rPr>
                <w:rFonts w:ascii="Times New Roman" w:eastAsia="Cambria" w:hAnsi="Times New Roman"/>
                <w:color w:val="000000" w:themeColor="text1"/>
              </w:rPr>
              <w:t>2,235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2F2E" w14:textId="77777777" w:rsidR="003F10DD" w:rsidRDefault="0060629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highlight w:val="green"/>
              </w:rPr>
            </w:pPr>
            <w:r>
              <w:rPr>
                <w:rFonts w:ascii="Times New Roman" w:eastAsia="Cambria" w:hAnsi="Times New Roman"/>
                <w:color w:val="000000" w:themeColor="text1"/>
              </w:rPr>
              <w:t>21</w:t>
            </w:r>
            <w:r w:rsidR="003F10DD" w:rsidRPr="005627C9">
              <w:rPr>
                <w:rFonts w:ascii="Times New Roman" w:eastAsia="Cambria" w:hAnsi="Times New Roman"/>
                <w:color w:val="000000" w:themeColor="text1"/>
              </w:rPr>
              <w:t>%</w:t>
            </w:r>
          </w:p>
        </w:tc>
      </w:tr>
      <w:tr w:rsidR="00A45B62" w:rsidRPr="001B4404" w14:paraId="2ECFBCBA" w14:textId="77777777" w:rsidTr="00A45B62">
        <w:trPr>
          <w:trHeight w:val="25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BDECE" w14:textId="77777777" w:rsidR="003F10DD" w:rsidRPr="009B2512" w:rsidRDefault="003F10DD" w:rsidP="000B3FCD">
            <w:pPr>
              <w:rPr>
                <w:rFonts w:asciiTheme="majorBidi" w:eastAsia="Cambria" w:hAnsiTheme="majorBidi" w:cstheme="majorBidi"/>
                <w:color w:val="000000" w:themeColor="text1"/>
              </w:rPr>
            </w:pPr>
            <w:r>
              <w:rPr>
                <w:rFonts w:asciiTheme="majorBidi" w:eastAsia="Cambria" w:hAnsiTheme="majorBidi" w:cstheme="majorBidi"/>
                <w:color w:val="000000" w:themeColor="text1"/>
              </w:rPr>
              <w:t>Hardware</w:t>
            </w:r>
            <w:r w:rsidRPr="009B2512">
              <w:rPr>
                <w:rFonts w:asciiTheme="majorBidi" w:eastAsia="Cambria" w:hAnsiTheme="majorBidi" w:cstheme="majorBidi"/>
                <w:color w:val="000000" w:themeColor="text1"/>
              </w:rPr>
              <w:t xml:space="preserve"> revenue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F51C9" w14:textId="77777777" w:rsidR="003F10DD" w:rsidRPr="00496B31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kern w:val="0"/>
                <w:sz w:val="24"/>
                <w:szCs w:val="24"/>
                <w:lang w:bidi="ar-SA"/>
              </w:rPr>
            </w:pPr>
            <w:r w:rsidRPr="00496B31">
              <w:rPr>
                <w:rFonts w:asciiTheme="majorBidi" w:eastAsia="Cambria" w:hAnsiTheme="majorBidi" w:cstheme="majorBidi"/>
                <w:color w:val="000000" w:themeColor="text1"/>
              </w:rPr>
              <w:t xml:space="preserve">$     </w:t>
            </w:r>
            <w:r w:rsidR="0060629D" w:rsidRPr="00496B31">
              <w:rPr>
                <w:rFonts w:asciiTheme="majorBidi" w:eastAsia="Cambria" w:hAnsiTheme="majorBidi" w:cstheme="majorBidi"/>
                <w:color w:val="000000" w:themeColor="text1"/>
              </w:rPr>
              <w:t>589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17AC4" w14:textId="77777777" w:rsidR="003F10DD" w:rsidRPr="00496B31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kern w:val="0"/>
                <w:sz w:val="24"/>
                <w:szCs w:val="24"/>
                <w:lang w:bidi="ar-SA"/>
              </w:rPr>
            </w:pPr>
            <w:r w:rsidRPr="00496B31">
              <w:rPr>
                <w:rFonts w:asciiTheme="majorBidi" w:eastAsia="Cambria" w:hAnsiTheme="majorBidi" w:cstheme="majorBidi"/>
                <w:color w:val="000000" w:themeColor="text1"/>
              </w:rPr>
              <w:t>$    5</w:t>
            </w:r>
            <w:r w:rsidR="006E453B" w:rsidRPr="00496B31">
              <w:rPr>
                <w:rFonts w:asciiTheme="majorBidi" w:eastAsia="Cambria" w:hAnsiTheme="majorBidi" w:cstheme="majorBidi"/>
                <w:color w:val="000000" w:themeColor="text1"/>
              </w:rPr>
              <w:t>2</w:t>
            </w:r>
            <w:r w:rsidR="0060629D" w:rsidRPr="00496B31">
              <w:rPr>
                <w:rFonts w:asciiTheme="majorBidi" w:eastAsia="Cambria" w:hAnsiTheme="majorBidi" w:cstheme="majorBidi"/>
                <w:color w:val="000000" w:themeColor="text1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F7682" w14:textId="77777777" w:rsidR="003F10DD" w:rsidRPr="00496B31" w:rsidRDefault="0060629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 w:rsidRPr="00496B31">
              <w:rPr>
                <w:rFonts w:asciiTheme="majorBidi" w:eastAsia="Cambria" w:hAnsiTheme="majorBidi" w:cstheme="majorBidi"/>
                <w:color w:val="000000" w:themeColor="text1"/>
              </w:rPr>
              <w:t>12</w:t>
            </w:r>
            <w:r w:rsidR="003F10DD" w:rsidRPr="00496B31">
              <w:rPr>
                <w:rFonts w:asciiTheme="majorBidi" w:eastAsia="Cambria" w:hAnsiTheme="majorBidi" w:cstheme="majorBidi"/>
                <w:color w:val="000000" w:themeColor="text1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5A1A" w14:textId="77777777" w:rsidR="003F10DD" w:rsidRPr="00496B31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 w:rsidRPr="00E95D7A">
              <w:rPr>
                <w:rFonts w:ascii="Times New Roman" w:eastAsia="Cambria" w:hAnsi="Times New Roman"/>
                <w:color w:val="000000" w:themeColor="text1"/>
              </w:rPr>
              <w:t>$      2,</w:t>
            </w:r>
            <w:r w:rsidR="0060629D" w:rsidRPr="00E95D7A">
              <w:rPr>
                <w:rFonts w:ascii="Times New Roman" w:eastAsia="Cambria" w:hAnsi="Times New Roman"/>
                <w:color w:val="000000" w:themeColor="text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8177" w14:textId="77777777" w:rsidR="003F10DD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highlight w:val="green"/>
              </w:rPr>
            </w:pPr>
            <w:r>
              <w:rPr>
                <w:rFonts w:ascii="Times New Roman" w:eastAsia="Cambria" w:hAnsi="Times New Roman"/>
                <w:color w:val="000000" w:themeColor="text1"/>
              </w:rPr>
              <w:t>$     2,</w:t>
            </w:r>
            <w:r w:rsidR="0060629D">
              <w:rPr>
                <w:rFonts w:ascii="Times New Roman" w:eastAsia="Cambria" w:hAnsi="Times New Roman"/>
                <w:color w:val="000000" w:themeColor="text1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B342" w14:textId="77777777" w:rsidR="003F10DD" w:rsidRDefault="0060629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highlight w:val="green"/>
              </w:rPr>
            </w:pPr>
            <w:r>
              <w:rPr>
                <w:rFonts w:ascii="Times New Roman" w:eastAsia="Cambria" w:hAnsi="Times New Roman"/>
                <w:color w:val="000000" w:themeColor="text1"/>
              </w:rPr>
              <w:t>12</w:t>
            </w:r>
            <w:r w:rsidR="003F10DD" w:rsidRPr="005627C9">
              <w:rPr>
                <w:rFonts w:ascii="Times New Roman" w:eastAsia="Cambria" w:hAnsi="Times New Roman"/>
                <w:color w:val="000000" w:themeColor="text1"/>
              </w:rPr>
              <w:t>%</w:t>
            </w:r>
          </w:p>
        </w:tc>
      </w:tr>
      <w:tr w:rsidR="00A45B62" w:rsidRPr="001B4404" w14:paraId="69A44B9B" w14:textId="77777777" w:rsidTr="00A45B62">
        <w:trPr>
          <w:trHeight w:val="42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7E590" w14:textId="77777777" w:rsidR="003F10DD" w:rsidRPr="00CD6BF3" w:rsidRDefault="003F10DD" w:rsidP="000B3FCD">
            <w:pPr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CD6BF3">
              <w:rPr>
                <w:rFonts w:asciiTheme="majorBidi" w:eastAsia="Cambria" w:hAnsiTheme="majorBidi" w:cstheme="majorBidi"/>
                <w:b/>
                <w:color w:val="000000" w:themeColor="text1"/>
              </w:rPr>
              <w:t>Total revenue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7EB5C7" w14:textId="77777777" w:rsidR="003F10DD" w:rsidRPr="00CD6BF3" w:rsidRDefault="003F10DD" w:rsidP="000B3FCD">
            <w:pPr>
              <w:pBdr>
                <w:top w:val="single" w:sz="4" w:space="1" w:color="auto"/>
                <w:bottom w:val="double" w:sz="4" w:space="1" w:color="auto"/>
              </w:pBd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CD6BF3">
              <w:rPr>
                <w:rFonts w:asciiTheme="majorBidi" w:eastAsia="Cambria" w:hAnsiTheme="majorBidi" w:cstheme="majorBidi"/>
                <w:b/>
                <w:color w:val="000000" w:themeColor="text1"/>
              </w:rPr>
              <w:t>$   1,311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085DC" w14:textId="77777777" w:rsidR="003F10DD" w:rsidRPr="00CD6BF3" w:rsidRDefault="003F10DD" w:rsidP="000B3FCD">
            <w:pPr>
              <w:pBdr>
                <w:top w:val="single" w:sz="4" w:space="1" w:color="auto"/>
                <w:bottom w:val="double" w:sz="4" w:space="1" w:color="auto"/>
              </w:pBd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  <w:kern w:val="0"/>
                <w:sz w:val="24"/>
                <w:szCs w:val="24"/>
                <w:lang w:bidi="ar-SA"/>
              </w:rPr>
            </w:pPr>
            <w:r w:rsidRPr="00CD6BF3">
              <w:rPr>
                <w:rFonts w:asciiTheme="majorBidi" w:eastAsia="Cambria" w:hAnsiTheme="majorBidi" w:cstheme="majorBidi"/>
                <w:b/>
                <w:color w:val="000000" w:themeColor="text1"/>
              </w:rPr>
              <w:t>$ 1,124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EC1859" w14:textId="77777777" w:rsidR="003F10DD" w:rsidRPr="00CD6BF3" w:rsidRDefault="003F10DD" w:rsidP="000B3FCD">
            <w:pPr>
              <w:pBdr>
                <w:top w:val="single" w:sz="4" w:space="1" w:color="auto"/>
                <w:bottom w:val="double" w:sz="4" w:space="1" w:color="auto"/>
              </w:pBd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CD6BF3">
              <w:rPr>
                <w:rFonts w:asciiTheme="majorBidi" w:eastAsia="Cambria" w:hAnsiTheme="majorBidi" w:cstheme="majorBidi"/>
                <w:b/>
                <w:color w:val="000000" w:themeColor="text1"/>
              </w:rPr>
              <w:t>17%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D67E" w14:textId="77777777" w:rsidR="003F10DD" w:rsidRPr="00CD6BF3" w:rsidRDefault="003F10DD" w:rsidP="000B3FCD">
            <w:pPr>
              <w:pBdr>
                <w:top w:val="single" w:sz="4" w:space="1" w:color="auto"/>
                <w:bottom w:val="double" w:sz="4" w:space="1" w:color="auto"/>
              </w:pBd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CD6BF3">
              <w:rPr>
                <w:rFonts w:ascii="Times New Roman" w:eastAsia="Cambria" w:hAnsi="Times New Roman"/>
                <w:b/>
                <w:color w:val="000000" w:themeColor="text1"/>
              </w:rPr>
              <w:t>$      5,087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502D" w14:textId="77777777" w:rsidR="003F10DD" w:rsidRPr="00CD6BF3" w:rsidRDefault="003F10DD" w:rsidP="000B3FCD">
            <w:pPr>
              <w:pBdr>
                <w:top w:val="single" w:sz="4" w:space="1" w:color="auto"/>
                <w:bottom w:val="double" w:sz="4" w:space="1" w:color="auto"/>
              </w:pBd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CD6BF3">
              <w:rPr>
                <w:rFonts w:ascii="Times New Roman" w:eastAsia="Cambria" w:hAnsi="Times New Roman"/>
                <w:b/>
                <w:color w:val="000000" w:themeColor="text1"/>
              </w:rPr>
              <w:t>$     4,350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B53B" w14:textId="77777777" w:rsidR="003F10DD" w:rsidRPr="00CD6BF3" w:rsidRDefault="003F10DD" w:rsidP="000B3FCD">
            <w:pPr>
              <w:pBdr>
                <w:top w:val="single" w:sz="4" w:space="1" w:color="auto"/>
                <w:bottom w:val="double" w:sz="4" w:space="1" w:color="auto"/>
              </w:pBdr>
              <w:jc w:val="center"/>
              <w:rPr>
                <w:rFonts w:asciiTheme="majorBidi" w:eastAsia="Cambria" w:hAnsiTheme="majorBidi" w:cstheme="majorBidi"/>
                <w:b/>
                <w:color w:val="000000" w:themeColor="text1"/>
              </w:rPr>
            </w:pPr>
            <w:r w:rsidRPr="00CD6BF3">
              <w:rPr>
                <w:rFonts w:ascii="Times New Roman" w:eastAsia="Cambria" w:hAnsi="Times New Roman"/>
                <w:b/>
                <w:color w:val="000000" w:themeColor="text1"/>
              </w:rPr>
              <w:t>17%</w:t>
            </w:r>
          </w:p>
        </w:tc>
      </w:tr>
      <w:tr w:rsidR="00A45B62" w:rsidRPr="001B4404" w14:paraId="37FB62A4" w14:textId="77777777" w:rsidTr="00A45B62">
        <w:trPr>
          <w:trHeight w:val="28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F57BD5" w14:textId="77777777" w:rsidR="003F10DD" w:rsidRPr="009B2512" w:rsidRDefault="003F10DD" w:rsidP="000B3FCD">
            <w:pPr>
              <w:rPr>
                <w:rFonts w:asciiTheme="majorBidi" w:eastAsia="Cambria" w:hAnsiTheme="majorBidi" w:cstheme="majorBidi"/>
                <w:color w:val="000000" w:themeColor="text1"/>
              </w:rPr>
            </w:pPr>
            <w:r>
              <w:rPr>
                <w:rFonts w:asciiTheme="majorBidi" w:eastAsia="Cambria" w:hAnsiTheme="majorBidi" w:cstheme="majorBidi"/>
                <w:color w:val="000000" w:themeColor="text1"/>
              </w:rPr>
              <w:t>Gross profit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9C8442" w14:textId="77777777" w:rsidR="003F10DD" w:rsidRPr="009B2512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kern w:val="0"/>
                <w:sz w:val="24"/>
                <w:szCs w:val="24"/>
                <w:lang w:bidi="ar-SA"/>
              </w:rPr>
            </w:pPr>
            <w:r>
              <w:rPr>
                <w:rFonts w:asciiTheme="majorBidi" w:eastAsia="Cambria" w:hAnsiTheme="majorBidi" w:cstheme="majorBidi"/>
                <w:color w:val="000000" w:themeColor="text1"/>
              </w:rPr>
              <w:t>$     810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8A7E57" w14:textId="77777777" w:rsidR="003F10DD" w:rsidRPr="00B3587C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kern w:val="0"/>
                <w:sz w:val="24"/>
                <w:szCs w:val="24"/>
                <w:lang w:bidi="ar-SA"/>
              </w:rPr>
            </w:pPr>
            <w:r w:rsidRPr="00B3587C">
              <w:rPr>
                <w:rFonts w:asciiTheme="majorBidi" w:eastAsia="Cambria" w:hAnsiTheme="majorBidi" w:cstheme="majorBidi"/>
                <w:color w:val="000000" w:themeColor="text1"/>
              </w:rPr>
              <w:t>$    610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1DA972" w14:textId="77777777" w:rsidR="003F10DD" w:rsidRPr="00B3587C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  <w:kern w:val="0"/>
                <w:sz w:val="24"/>
                <w:szCs w:val="24"/>
                <w:lang w:bidi="ar-SA"/>
              </w:rPr>
            </w:pPr>
            <w:r w:rsidRPr="00B3587C">
              <w:rPr>
                <w:rFonts w:asciiTheme="majorBidi" w:eastAsia="Cambria" w:hAnsiTheme="majorBidi" w:cstheme="majorBidi"/>
                <w:color w:val="000000" w:themeColor="text1"/>
              </w:rPr>
              <w:t>33%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A4C15" w14:textId="77777777" w:rsidR="003F10DD" w:rsidRPr="00B3587C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>
              <w:rPr>
                <w:rFonts w:ascii="Times New Roman" w:eastAsia="Cambria" w:hAnsi="Times New Roman"/>
                <w:color w:val="000000" w:themeColor="text1"/>
              </w:rPr>
              <w:t>$      3,122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C162" w14:textId="77777777" w:rsidR="003F10DD" w:rsidRPr="00B3587C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>
              <w:rPr>
                <w:rFonts w:ascii="Times New Roman" w:eastAsia="Cambria" w:hAnsi="Times New Roman"/>
                <w:color w:val="000000" w:themeColor="text1"/>
              </w:rPr>
              <w:t>$     2,447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89AE7" w14:textId="77777777" w:rsidR="003F10DD" w:rsidRPr="00B3587C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  <w:r>
              <w:rPr>
                <w:rFonts w:ascii="Times New Roman" w:eastAsia="Cambria" w:hAnsi="Times New Roman"/>
                <w:color w:val="000000" w:themeColor="text1"/>
              </w:rPr>
              <w:t>28%</w:t>
            </w:r>
          </w:p>
        </w:tc>
      </w:tr>
      <w:tr w:rsidR="00A45B62" w:rsidRPr="001B4404" w14:paraId="7C5CB0A3" w14:textId="77777777" w:rsidTr="00A45B62">
        <w:trPr>
          <w:trHeight w:val="28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03F56F" w14:textId="77777777" w:rsidR="003F10DD" w:rsidRDefault="003F10DD" w:rsidP="000B3FCD">
            <w:pPr>
              <w:rPr>
                <w:rFonts w:asciiTheme="majorBidi" w:eastAsia="Cambria" w:hAnsiTheme="majorBidi" w:cstheme="majorBidi"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EB8495" w14:textId="77777777" w:rsidR="003F10DD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A1920" w14:textId="77777777" w:rsidR="003F10DD" w:rsidRPr="00B3587C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B2C807" w14:textId="77777777" w:rsidR="003F10DD" w:rsidRPr="00B3587C" w:rsidRDefault="003F10DD" w:rsidP="000B3FCD">
            <w:pPr>
              <w:jc w:val="center"/>
              <w:rPr>
                <w:rFonts w:asciiTheme="majorBidi" w:eastAsia="Cambria" w:hAnsiTheme="majorBidi" w:cstheme="majorBidi"/>
                <w:color w:val="000000" w:themeColor="text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817F" w14:textId="77777777" w:rsidR="003F10DD" w:rsidRDefault="003F10DD" w:rsidP="000B3FCD">
            <w:pPr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D84" w14:textId="77777777" w:rsidR="003F10DD" w:rsidRDefault="003F10DD" w:rsidP="000B3FCD">
            <w:pPr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8CA1" w14:textId="77777777" w:rsidR="003F10DD" w:rsidRDefault="003F10DD" w:rsidP="000B3FCD">
            <w:pPr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</w:tr>
    </w:tbl>
    <w:p w14:paraId="0AF1473E" w14:textId="77777777" w:rsidR="008036F0" w:rsidRDefault="008036F0" w:rsidP="008036F0">
      <w:pPr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546C9E5" w14:textId="77777777" w:rsidR="008036F0" w:rsidRDefault="00935457" w:rsidP="008036F0">
      <w:p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47806">
        <w:rPr>
          <w:rFonts w:asciiTheme="majorBidi" w:hAnsiTheme="majorBidi" w:cstheme="majorBidi"/>
          <w:color w:val="000000" w:themeColor="text1"/>
        </w:rPr>
        <w:lastRenderedPageBreak/>
        <w:t>Driven by increased monitoring revenue</w:t>
      </w:r>
      <w:r w:rsidR="00A84A59">
        <w:rPr>
          <w:rFonts w:asciiTheme="majorBidi" w:hAnsiTheme="majorBidi" w:cstheme="majorBidi"/>
          <w:color w:val="000000" w:themeColor="text1"/>
        </w:rPr>
        <w:t xml:space="preserve"> as well as</w:t>
      </w:r>
      <w:r w:rsidR="00496B31">
        <w:rPr>
          <w:rFonts w:asciiTheme="majorBidi" w:hAnsiTheme="majorBidi" w:cstheme="majorBidi"/>
          <w:color w:val="000000" w:themeColor="text1"/>
        </w:rPr>
        <w:t xml:space="preserve"> hardware </w:t>
      </w:r>
      <w:r w:rsidR="00A47806">
        <w:rPr>
          <w:rFonts w:asciiTheme="majorBidi" w:hAnsiTheme="majorBidi" w:cstheme="majorBidi"/>
          <w:color w:val="000000" w:themeColor="text1"/>
        </w:rPr>
        <w:t xml:space="preserve">unit </w:t>
      </w:r>
      <w:r w:rsidR="00496B31">
        <w:rPr>
          <w:rFonts w:asciiTheme="majorBidi" w:hAnsiTheme="majorBidi" w:cstheme="majorBidi"/>
          <w:color w:val="000000" w:themeColor="text1"/>
        </w:rPr>
        <w:t>sales</w:t>
      </w:r>
      <w:r w:rsidRPr="00E95D7A">
        <w:rPr>
          <w:rFonts w:asciiTheme="majorBidi" w:hAnsiTheme="majorBidi" w:cstheme="majorBidi"/>
          <w:color w:val="000000" w:themeColor="text1"/>
        </w:rPr>
        <w:t xml:space="preserve">, </w:t>
      </w:r>
      <w:r w:rsidR="008036F0" w:rsidRPr="00E95D7A">
        <w:rPr>
          <w:rFonts w:asciiTheme="majorBidi" w:hAnsiTheme="majorBidi" w:cstheme="majorBidi"/>
          <w:color w:val="000000" w:themeColor="text1"/>
        </w:rPr>
        <w:t>OmniMetrix</w:t>
      </w:r>
      <w:r w:rsidR="008036F0" w:rsidRPr="005B54F5">
        <w:rPr>
          <w:rFonts w:asciiTheme="majorBidi" w:hAnsiTheme="majorBidi" w:cstheme="majorBidi"/>
          <w:color w:val="000000" w:themeColor="text1"/>
        </w:rPr>
        <w:t xml:space="preserve">’s </w:t>
      </w:r>
      <w:r w:rsidR="008036F0" w:rsidRPr="00F62128">
        <w:rPr>
          <w:rFonts w:asciiTheme="majorBidi" w:hAnsiTheme="majorBidi" w:cstheme="majorBidi"/>
          <w:color w:val="000000" w:themeColor="text1"/>
        </w:rPr>
        <w:t>fourth quart</w:t>
      </w:r>
      <w:r w:rsidR="008036F0" w:rsidRPr="00DE593C">
        <w:rPr>
          <w:rFonts w:asciiTheme="majorBidi" w:hAnsiTheme="majorBidi" w:cstheme="majorBidi"/>
          <w:color w:val="000000" w:themeColor="text1"/>
        </w:rPr>
        <w:t>er 2018 revenue rose 17</w:t>
      </w:r>
      <w:r w:rsidR="008036F0" w:rsidRPr="00C57280">
        <w:rPr>
          <w:rFonts w:asciiTheme="majorBidi" w:hAnsiTheme="majorBidi" w:cstheme="majorBidi"/>
          <w:color w:val="000000" w:themeColor="text1"/>
        </w:rPr>
        <w:t>% to $</w:t>
      </w:r>
      <w:r w:rsidR="008036F0" w:rsidRPr="00E95D7A">
        <w:rPr>
          <w:rFonts w:asciiTheme="majorBidi" w:hAnsiTheme="majorBidi" w:cstheme="majorBidi"/>
          <w:color w:val="000000" w:themeColor="text1"/>
        </w:rPr>
        <w:t>1,311,000 from $</w:t>
      </w:r>
      <w:r w:rsidR="008036F0" w:rsidRPr="00E95D7A">
        <w:rPr>
          <w:rFonts w:ascii="Times New Roman" w:hAnsi="Times New Roman"/>
          <w:color w:val="000000" w:themeColor="text1"/>
        </w:rPr>
        <w:t xml:space="preserve">1,124,000 </w:t>
      </w:r>
      <w:r w:rsidR="008036F0" w:rsidRPr="00E95D7A">
        <w:rPr>
          <w:rFonts w:asciiTheme="majorBidi" w:hAnsiTheme="majorBidi" w:cstheme="majorBidi"/>
          <w:color w:val="000000" w:themeColor="text1"/>
        </w:rPr>
        <w:t xml:space="preserve">in </w:t>
      </w:r>
      <w:r w:rsidRPr="00E95D7A">
        <w:rPr>
          <w:rFonts w:asciiTheme="majorBidi" w:hAnsiTheme="majorBidi" w:cstheme="majorBidi"/>
          <w:color w:val="000000" w:themeColor="text1"/>
        </w:rPr>
        <w:t xml:space="preserve">the </w:t>
      </w:r>
      <w:r w:rsidR="008036F0" w:rsidRPr="00E95D7A">
        <w:rPr>
          <w:rFonts w:asciiTheme="majorBidi" w:hAnsiTheme="majorBidi" w:cstheme="majorBidi"/>
          <w:color w:val="000000" w:themeColor="text1"/>
        </w:rPr>
        <w:t xml:space="preserve">fourth quarter </w:t>
      </w:r>
      <w:r w:rsidRPr="00E95D7A">
        <w:rPr>
          <w:rFonts w:asciiTheme="majorBidi" w:hAnsiTheme="majorBidi" w:cstheme="majorBidi"/>
          <w:color w:val="000000" w:themeColor="text1"/>
        </w:rPr>
        <w:t xml:space="preserve">of </w:t>
      </w:r>
      <w:r w:rsidR="008036F0" w:rsidRPr="00E95D7A">
        <w:rPr>
          <w:rFonts w:asciiTheme="majorBidi" w:hAnsiTheme="majorBidi" w:cstheme="majorBidi"/>
          <w:color w:val="000000" w:themeColor="text1"/>
        </w:rPr>
        <w:t>2017</w:t>
      </w:r>
      <w:r w:rsidR="008036F0">
        <w:rPr>
          <w:rFonts w:asciiTheme="majorBidi" w:hAnsiTheme="majorBidi" w:cstheme="majorBidi"/>
          <w:color w:val="000000" w:themeColor="text1"/>
        </w:rPr>
        <w:t>. M</w:t>
      </w:r>
      <w:r w:rsidR="00CD6BF3">
        <w:rPr>
          <w:rFonts w:asciiTheme="majorBidi" w:hAnsiTheme="majorBidi" w:cstheme="majorBidi"/>
          <w:color w:val="000000" w:themeColor="text1"/>
        </w:rPr>
        <w:t>onitoring</w:t>
      </w:r>
      <w:r w:rsidR="008036F0" w:rsidRPr="0089349A">
        <w:rPr>
          <w:rFonts w:asciiTheme="majorBidi" w:hAnsiTheme="majorBidi" w:cstheme="majorBidi"/>
          <w:color w:val="000000" w:themeColor="text1"/>
        </w:rPr>
        <w:t xml:space="preserve"> </w:t>
      </w:r>
      <w:r w:rsidR="002865D1">
        <w:rPr>
          <w:rFonts w:asciiTheme="majorBidi" w:hAnsiTheme="majorBidi" w:cstheme="majorBidi"/>
          <w:color w:val="000000" w:themeColor="text1"/>
        </w:rPr>
        <w:t xml:space="preserve">growth </w:t>
      </w:r>
      <w:r w:rsidR="008036F0">
        <w:rPr>
          <w:rFonts w:asciiTheme="majorBidi" w:hAnsiTheme="majorBidi" w:cstheme="majorBidi"/>
          <w:color w:val="000000" w:themeColor="text1"/>
        </w:rPr>
        <w:t xml:space="preserve">reflects the continued </w:t>
      </w:r>
      <w:r w:rsidR="008036F0" w:rsidRPr="0089349A">
        <w:rPr>
          <w:rFonts w:asciiTheme="majorBidi" w:hAnsiTheme="majorBidi" w:cstheme="majorBidi"/>
          <w:color w:val="000000" w:themeColor="text1"/>
        </w:rPr>
        <w:t xml:space="preserve">increase in </w:t>
      </w:r>
      <w:r>
        <w:rPr>
          <w:rFonts w:asciiTheme="majorBidi" w:hAnsiTheme="majorBidi" w:cstheme="majorBidi"/>
          <w:color w:val="000000" w:themeColor="text1"/>
        </w:rPr>
        <w:t xml:space="preserve">the </w:t>
      </w:r>
      <w:r w:rsidR="008036F0" w:rsidRPr="0089349A">
        <w:rPr>
          <w:rFonts w:asciiTheme="majorBidi" w:hAnsiTheme="majorBidi" w:cstheme="majorBidi"/>
          <w:color w:val="000000" w:themeColor="text1"/>
        </w:rPr>
        <w:t xml:space="preserve">number of </w:t>
      </w:r>
      <w:r w:rsidR="008036F0">
        <w:rPr>
          <w:rFonts w:asciiTheme="majorBidi" w:hAnsiTheme="majorBidi" w:cstheme="majorBidi"/>
          <w:color w:val="000000" w:themeColor="text1"/>
        </w:rPr>
        <w:t>end points being monitored, more than 90% of which renew annually.</w:t>
      </w:r>
    </w:p>
    <w:p w14:paraId="67BC551E" w14:textId="77777777" w:rsidR="008036F0" w:rsidRDefault="008036F0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3F1A5490" w14:textId="77777777" w:rsidR="004435B1" w:rsidRDefault="00ED0C8C" w:rsidP="0089349A">
      <w:pPr>
        <w:spacing w:line="276" w:lineRule="auto"/>
        <w:rPr>
          <w:rFonts w:ascii="Times New Roman" w:hAnsi="Times New Roman"/>
        </w:rPr>
      </w:pPr>
      <w:r w:rsidRPr="00A47806">
        <w:rPr>
          <w:rFonts w:asciiTheme="majorBidi" w:hAnsiTheme="majorBidi" w:cstheme="majorBidi"/>
          <w:color w:val="000000" w:themeColor="text1"/>
        </w:rPr>
        <w:t>For the full year</w:t>
      </w:r>
      <w:r w:rsidR="00AF66A4" w:rsidRPr="00A47806">
        <w:rPr>
          <w:rFonts w:asciiTheme="majorBidi" w:hAnsiTheme="majorBidi" w:cstheme="majorBidi"/>
          <w:color w:val="000000" w:themeColor="text1"/>
        </w:rPr>
        <w:t xml:space="preserve"> 2018, revenue increased</w:t>
      </w:r>
      <w:r w:rsidR="00513DCC" w:rsidRPr="00A47806">
        <w:rPr>
          <w:rFonts w:asciiTheme="majorBidi" w:hAnsiTheme="majorBidi" w:cstheme="majorBidi"/>
          <w:color w:val="000000" w:themeColor="text1"/>
        </w:rPr>
        <w:t xml:space="preserve"> to $</w:t>
      </w:r>
      <w:r w:rsidR="008036F0" w:rsidRPr="00A47806">
        <w:rPr>
          <w:rFonts w:asciiTheme="majorBidi" w:hAnsiTheme="majorBidi" w:cstheme="majorBidi"/>
          <w:color w:val="000000" w:themeColor="text1"/>
        </w:rPr>
        <w:t>5,087</w:t>
      </w:r>
      <w:r w:rsidR="00F41773" w:rsidRPr="00A47806">
        <w:rPr>
          <w:rFonts w:asciiTheme="majorBidi" w:hAnsiTheme="majorBidi" w:cstheme="majorBidi"/>
          <w:color w:val="000000" w:themeColor="text1"/>
        </w:rPr>
        <w:t>,000</w:t>
      </w:r>
      <w:r w:rsidR="004C6CF2" w:rsidRPr="00A47806">
        <w:rPr>
          <w:rFonts w:asciiTheme="majorBidi" w:hAnsiTheme="majorBidi" w:cstheme="majorBidi"/>
          <w:color w:val="000000" w:themeColor="text1"/>
        </w:rPr>
        <w:t xml:space="preserve">, </w:t>
      </w:r>
      <w:r w:rsidR="007F7EDA" w:rsidRPr="00A47806">
        <w:rPr>
          <w:rFonts w:asciiTheme="majorBidi" w:hAnsiTheme="majorBidi" w:cstheme="majorBidi"/>
          <w:color w:val="000000" w:themeColor="text1"/>
        </w:rPr>
        <w:t>or 17</w:t>
      </w:r>
      <w:r w:rsidR="001E39AD" w:rsidRPr="00A47806">
        <w:rPr>
          <w:rFonts w:asciiTheme="majorBidi" w:hAnsiTheme="majorBidi" w:cstheme="majorBidi"/>
          <w:color w:val="000000" w:themeColor="text1"/>
        </w:rPr>
        <w:t>%</w:t>
      </w:r>
      <w:r w:rsidR="007C67E8">
        <w:rPr>
          <w:rFonts w:asciiTheme="majorBidi" w:hAnsiTheme="majorBidi" w:cstheme="majorBidi"/>
          <w:color w:val="000000" w:themeColor="text1"/>
        </w:rPr>
        <w:t xml:space="preserve">, </w:t>
      </w:r>
      <w:r w:rsidR="004C6CF2" w:rsidRPr="00A47806">
        <w:rPr>
          <w:rFonts w:asciiTheme="majorBidi" w:hAnsiTheme="majorBidi" w:cstheme="majorBidi"/>
          <w:color w:val="000000" w:themeColor="text1"/>
        </w:rPr>
        <w:t>over</w:t>
      </w:r>
      <w:r w:rsidR="005C54BB" w:rsidRPr="00A47806">
        <w:rPr>
          <w:rFonts w:asciiTheme="majorBidi" w:hAnsiTheme="majorBidi" w:cstheme="majorBidi"/>
          <w:color w:val="000000" w:themeColor="text1"/>
        </w:rPr>
        <w:t xml:space="preserve"> 2017</w:t>
      </w:r>
      <w:r w:rsidR="007C67E8">
        <w:rPr>
          <w:rFonts w:asciiTheme="majorBidi" w:hAnsiTheme="majorBidi" w:cstheme="majorBidi"/>
          <w:color w:val="000000" w:themeColor="text1"/>
        </w:rPr>
        <w:t xml:space="preserve"> revenue of $4,350,000</w:t>
      </w:r>
      <w:r w:rsidR="00C716C8" w:rsidRPr="00A47806">
        <w:rPr>
          <w:rFonts w:asciiTheme="majorBidi" w:hAnsiTheme="majorBidi" w:cstheme="majorBidi"/>
          <w:color w:val="000000" w:themeColor="text1"/>
        </w:rPr>
        <w:t>, reflecting growth in both monito</w:t>
      </w:r>
      <w:r w:rsidR="002865D1" w:rsidRPr="00A47806">
        <w:rPr>
          <w:rFonts w:asciiTheme="majorBidi" w:hAnsiTheme="majorBidi" w:cstheme="majorBidi"/>
          <w:color w:val="000000" w:themeColor="text1"/>
        </w:rPr>
        <w:t>ring</w:t>
      </w:r>
      <w:r w:rsidR="00C716C8" w:rsidRPr="00A47806">
        <w:rPr>
          <w:rFonts w:asciiTheme="majorBidi" w:hAnsiTheme="majorBidi" w:cstheme="majorBidi"/>
          <w:color w:val="000000" w:themeColor="text1"/>
        </w:rPr>
        <w:t xml:space="preserve"> and</w:t>
      </w:r>
      <w:r w:rsidR="008036F0" w:rsidRPr="00A47806">
        <w:rPr>
          <w:rFonts w:asciiTheme="majorBidi" w:hAnsiTheme="majorBidi" w:cstheme="majorBidi"/>
          <w:color w:val="000000" w:themeColor="text1"/>
        </w:rPr>
        <w:t xml:space="preserve"> </w:t>
      </w:r>
      <w:r w:rsidR="004435B1" w:rsidRPr="00A47806">
        <w:rPr>
          <w:rFonts w:asciiTheme="majorBidi" w:hAnsiTheme="majorBidi" w:cstheme="majorBidi"/>
          <w:color w:val="000000" w:themeColor="text1"/>
        </w:rPr>
        <w:t>hardware revenue</w:t>
      </w:r>
      <w:r w:rsidR="004435B1" w:rsidRPr="005B54F5">
        <w:rPr>
          <w:rFonts w:asciiTheme="majorBidi" w:hAnsiTheme="majorBidi" w:cstheme="majorBidi"/>
          <w:color w:val="000000" w:themeColor="text1"/>
        </w:rPr>
        <w:t>.</w:t>
      </w:r>
      <w:r w:rsidR="000B3FCD" w:rsidRPr="005B54F5">
        <w:rPr>
          <w:rFonts w:asciiTheme="majorBidi" w:eastAsia="Cambria" w:hAnsiTheme="majorBidi" w:cstheme="majorBidi"/>
          <w:color w:val="000000" w:themeColor="text1"/>
        </w:rPr>
        <w:t xml:space="preserve"> </w:t>
      </w:r>
      <w:r w:rsidR="000B3FCD" w:rsidRPr="00F62128">
        <w:rPr>
          <w:rFonts w:ascii="Times New Roman" w:hAnsi="Times New Roman"/>
        </w:rPr>
        <w:t>G</w:t>
      </w:r>
      <w:r w:rsidR="00935457" w:rsidRPr="00F62128">
        <w:rPr>
          <w:rFonts w:ascii="Times New Roman" w:hAnsi="Times New Roman"/>
        </w:rPr>
        <w:t>ross profit</w:t>
      </w:r>
      <w:r w:rsidR="00935457" w:rsidRPr="00DE593C">
        <w:rPr>
          <w:rFonts w:ascii="Times New Roman" w:hAnsi="Times New Roman"/>
        </w:rPr>
        <w:t xml:space="preserve"> grew 28% to $3,122,000 </w:t>
      </w:r>
      <w:r w:rsidR="00935457" w:rsidRPr="00C57280">
        <w:rPr>
          <w:rFonts w:ascii="Times New Roman" w:hAnsi="Times New Roman"/>
        </w:rPr>
        <w:t xml:space="preserve">in 2018, compared to gross profit of $2,447,000 in </w:t>
      </w:r>
      <w:r w:rsidR="00935457" w:rsidRPr="005B54F5">
        <w:rPr>
          <w:rFonts w:ascii="Times New Roman" w:hAnsi="Times New Roman"/>
        </w:rPr>
        <w:t>2017</w:t>
      </w:r>
      <w:r w:rsidR="00513DCC" w:rsidRPr="005B54F5">
        <w:rPr>
          <w:rFonts w:ascii="Times New Roman" w:hAnsi="Times New Roman"/>
        </w:rPr>
        <w:t>,</w:t>
      </w:r>
      <w:r w:rsidR="00353CB5" w:rsidRPr="005B54F5">
        <w:rPr>
          <w:rFonts w:ascii="Times New Roman" w:hAnsi="Times New Roman"/>
        </w:rPr>
        <w:t xml:space="preserve"> </w:t>
      </w:r>
      <w:r w:rsidR="00070A57" w:rsidRPr="005B54F5">
        <w:rPr>
          <w:rFonts w:ascii="Times New Roman" w:hAnsi="Times New Roman"/>
        </w:rPr>
        <w:t xml:space="preserve">due to </w:t>
      </w:r>
      <w:r w:rsidR="00353CB5" w:rsidRPr="005B54F5">
        <w:rPr>
          <w:rFonts w:ascii="Times New Roman" w:hAnsi="Times New Roman"/>
        </w:rPr>
        <w:t>increase</w:t>
      </w:r>
      <w:r w:rsidR="00070A57" w:rsidRPr="005B54F5">
        <w:rPr>
          <w:rFonts w:ascii="Times New Roman" w:hAnsi="Times New Roman"/>
        </w:rPr>
        <w:t>s</w:t>
      </w:r>
      <w:r w:rsidR="00353CB5" w:rsidRPr="005B54F5">
        <w:rPr>
          <w:rFonts w:ascii="Times New Roman" w:hAnsi="Times New Roman"/>
        </w:rPr>
        <w:t xml:space="preserve"> in </w:t>
      </w:r>
      <w:r w:rsidR="004435B1" w:rsidRPr="005B54F5">
        <w:rPr>
          <w:rFonts w:ascii="Times New Roman" w:hAnsi="Times New Roman"/>
        </w:rPr>
        <w:t xml:space="preserve">both revenue and </w:t>
      </w:r>
      <w:r w:rsidR="00353CB5" w:rsidRPr="005B54F5">
        <w:rPr>
          <w:rFonts w:ascii="Times New Roman" w:hAnsi="Times New Roman"/>
        </w:rPr>
        <w:t>gross margin</w:t>
      </w:r>
      <w:r w:rsidR="00935457" w:rsidRPr="005B54F5">
        <w:rPr>
          <w:rFonts w:ascii="Times New Roman" w:hAnsi="Times New Roman"/>
        </w:rPr>
        <w:t>.</w:t>
      </w:r>
    </w:p>
    <w:p w14:paraId="702AEB08" w14:textId="77777777" w:rsidR="004435B1" w:rsidRDefault="004435B1" w:rsidP="0089349A">
      <w:pPr>
        <w:spacing w:line="276" w:lineRule="auto"/>
        <w:rPr>
          <w:rFonts w:ascii="Times New Roman" w:hAnsi="Times New Roman"/>
        </w:rPr>
      </w:pPr>
    </w:p>
    <w:p w14:paraId="39878020" w14:textId="77777777" w:rsidR="00AD3B3B" w:rsidRPr="00B30A8F" w:rsidRDefault="004435B1" w:rsidP="0089349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Improved 2018 results reflect the benefit of OmniMetrix’s </w:t>
      </w:r>
      <w:r w:rsidR="00CA68B4" w:rsidRPr="00CA68B4">
        <w:rPr>
          <w:rFonts w:ascii="Times New Roman" w:hAnsi="Times New Roman"/>
        </w:rPr>
        <w:t>p</w:t>
      </w:r>
      <w:r w:rsidR="00CA68B4">
        <w:rPr>
          <w:rFonts w:ascii="Times New Roman" w:hAnsi="Times New Roman"/>
        </w:rPr>
        <w:t xml:space="preserve">roduct development efforts </w:t>
      </w:r>
      <w:r>
        <w:rPr>
          <w:rFonts w:ascii="Times New Roman" w:hAnsi="Times New Roman"/>
        </w:rPr>
        <w:t xml:space="preserve">which have enhanced the capabilities </w:t>
      </w:r>
      <w:r w:rsidR="00101B88">
        <w:rPr>
          <w:rFonts w:ascii="Times New Roman" w:hAnsi="Times New Roman"/>
        </w:rPr>
        <w:t xml:space="preserve">and </w:t>
      </w:r>
      <w:r w:rsidR="000B3FCD">
        <w:rPr>
          <w:rFonts w:ascii="Times New Roman" w:hAnsi="Times New Roman"/>
        </w:rPr>
        <w:t xml:space="preserve">gross margins of </w:t>
      </w:r>
      <w:r w:rsidR="005900B9">
        <w:rPr>
          <w:rFonts w:ascii="Times New Roman" w:hAnsi="Times New Roman"/>
        </w:rPr>
        <w:t xml:space="preserve">certain </w:t>
      </w:r>
      <w:r w:rsidR="000B3FCD">
        <w:rPr>
          <w:rFonts w:ascii="Times New Roman" w:hAnsi="Times New Roman"/>
        </w:rPr>
        <w:t xml:space="preserve">power generation </w:t>
      </w:r>
      <w:r>
        <w:rPr>
          <w:rFonts w:ascii="Times New Roman" w:hAnsi="Times New Roman"/>
        </w:rPr>
        <w:t xml:space="preserve">hardware </w:t>
      </w:r>
      <w:r w:rsidR="001D0529">
        <w:rPr>
          <w:rFonts w:ascii="Times New Roman" w:hAnsi="Times New Roman"/>
        </w:rPr>
        <w:t xml:space="preserve">monitoring </w:t>
      </w:r>
      <w:r w:rsidR="005900B9">
        <w:rPr>
          <w:rFonts w:ascii="Times New Roman" w:hAnsi="Times New Roman"/>
        </w:rPr>
        <w:t>solutions</w:t>
      </w:r>
      <w:r>
        <w:rPr>
          <w:rFonts w:ascii="Times New Roman" w:hAnsi="Times New Roman"/>
        </w:rPr>
        <w:t xml:space="preserve">. </w:t>
      </w:r>
      <w:r w:rsidR="00CA68B4">
        <w:rPr>
          <w:rFonts w:ascii="Times New Roman" w:hAnsi="Times New Roman"/>
        </w:rPr>
        <w:t>As a result,</w:t>
      </w:r>
      <w:r>
        <w:rPr>
          <w:rFonts w:ascii="Times New Roman" w:hAnsi="Times New Roman"/>
        </w:rPr>
        <w:t xml:space="preserve"> hardware </w:t>
      </w:r>
      <w:r w:rsidR="00C51861" w:rsidRPr="00B30A8F">
        <w:rPr>
          <w:rFonts w:ascii="Times New Roman" w:hAnsi="Times New Roman"/>
        </w:rPr>
        <w:t xml:space="preserve">gross margin </w:t>
      </w:r>
      <w:r w:rsidR="004C6CF2">
        <w:rPr>
          <w:rFonts w:ascii="Times New Roman" w:hAnsi="Times New Roman"/>
        </w:rPr>
        <w:t>increased</w:t>
      </w:r>
      <w:r w:rsidR="00577293" w:rsidRPr="00B30A8F">
        <w:rPr>
          <w:rFonts w:ascii="Times New Roman" w:hAnsi="Times New Roman"/>
        </w:rPr>
        <w:t xml:space="preserve"> </w:t>
      </w:r>
      <w:r w:rsidR="00C51861" w:rsidRPr="00B30A8F">
        <w:rPr>
          <w:rFonts w:ascii="Times New Roman" w:hAnsi="Times New Roman"/>
        </w:rPr>
        <w:t xml:space="preserve">to </w:t>
      </w:r>
      <w:r w:rsidR="007914EE" w:rsidRPr="00CA68B4">
        <w:rPr>
          <w:rFonts w:ascii="Times New Roman" w:hAnsi="Times New Roman"/>
        </w:rPr>
        <w:t>36</w:t>
      </w:r>
      <w:r w:rsidR="00C51861" w:rsidRPr="00CA68B4">
        <w:rPr>
          <w:rFonts w:ascii="Times New Roman" w:hAnsi="Times New Roman"/>
        </w:rPr>
        <w:t>%</w:t>
      </w:r>
      <w:r w:rsidR="00C51861" w:rsidRPr="00B30A8F">
        <w:rPr>
          <w:rFonts w:ascii="Times New Roman" w:hAnsi="Times New Roman"/>
        </w:rPr>
        <w:t xml:space="preserve"> in 2018 </w:t>
      </w:r>
      <w:r w:rsidR="00C51861" w:rsidRPr="00CA68B4">
        <w:rPr>
          <w:rFonts w:ascii="Times New Roman" w:hAnsi="Times New Roman"/>
        </w:rPr>
        <w:t xml:space="preserve">from </w:t>
      </w:r>
      <w:r w:rsidR="000863BD">
        <w:rPr>
          <w:rFonts w:ascii="Times New Roman" w:hAnsi="Times New Roman"/>
        </w:rPr>
        <w:t>27</w:t>
      </w:r>
      <w:r w:rsidR="00C51861" w:rsidRPr="00CA68B4">
        <w:rPr>
          <w:rFonts w:ascii="Times New Roman" w:hAnsi="Times New Roman"/>
        </w:rPr>
        <w:t>%</w:t>
      </w:r>
      <w:r w:rsidR="00C51861" w:rsidRPr="00B30A8F">
        <w:rPr>
          <w:rFonts w:ascii="Times New Roman" w:hAnsi="Times New Roman"/>
        </w:rPr>
        <w:t xml:space="preserve"> </w:t>
      </w:r>
      <w:r w:rsidR="000863BD">
        <w:rPr>
          <w:rFonts w:ascii="Times New Roman" w:hAnsi="Times New Roman"/>
        </w:rPr>
        <w:t>in</w:t>
      </w:r>
      <w:r w:rsidR="00AF66A4">
        <w:rPr>
          <w:rFonts w:ascii="Times New Roman" w:hAnsi="Times New Roman"/>
        </w:rPr>
        <w:t xml:space="preserve"> </w:t>
      </w:r>
      <w:r w:rsidR="00C51861" w:rsidRPr="00B30A8F">
        <w:rPr>
          <w:rFonts w:ascii="Times New Roman" w:hAnsi="Times New Roman"/>
        </w:rPr>
        <w:t>2017</w:t>
      </w:r>
      <w:r w:rsidR="00577293" w:rsidRPr="00B30A8F">
        <w:rPr>
          <w:rFonts w:ascii="Times New Roman" w:hAnsi="Times New Roman"/>
        </w:rPr>
        <w:t xml:space="preserve">. </w:t>
      </w:r>
      <w:r w:rsidR="00AD3B3B" w:rsidRPr="00B30A8F">
        <w:rPr>
          <w:rFonts w:ascii="Times New Roman" w:hAnsi="Times New Roman"/>
        </w:rPr>
        <w:t xml:space="preserve">Gross margin on monitoring </w:t>
      </w:r>
      <w:r w:rsidR="000B3FCD">
        <w:rPr>
          <w:rFonts w:ascii="Times New Roman" w:hAnsi="Times New Roman"/>
        </w:rPr>
        <w:t xml:space="preserve">revenue </w:t>
      </w:r>
      <w:r w:rsidR="00AD3B3B" w:rsidRPr="00B30A8F">
        <w:rPr>
          <w:rFonts w:ascii="Times New Roman" w:hAnsi="Times New Roman"/>
        </w:rPr>
        <w:t xml:space="preserve">was </w:t>
      </w:r>
      <w:r w:rsidR="00CA68B4">
        <w:rPr>
          <w:rFonts w:ascii="Times New Roman" w:hAnsi="Times New Roman"/>
        </w:rPr>
        <w:t xml:space="preserve">level </w:t>
      </w:r>
      <w:r w:rsidR="00CA68B4" w:rsidRPr="00CA68B4">
        <w:rPr>
          <w:rFonts w:ascii="Times New Roman" w:hAnsi="Times New Roman"/>
        </w:rPr>
        <w:t>at 84%</w:t>
      </w:r>
      <w:r w:rsidR="00CA6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both 2018 and 2017</w:t>
      </w:r>
      <w:r w:rsidR="00AD3B3B" w:rsidRPr="00B30A8F">
        <w:rPr>
          <w:rFonts w:ascii="Times New Roman" w:hAnsi="Times New Roman"/>
        </w:rPr>
        <w:t>.</w:t>
      </w:r>
    </w:p>
    <w:p w14:paraId="1E4B2CF6" w14:textId="77777777" w:rsidR="00353CB5" w:rsidRPr="009B2512" w:rsidRDefault="00353CB5" w:rsidP="00353CB5">
      <w:pPr>
        <w:spacing w:line="276" w:lineRule="auto"/>
        <w:rPr>
          <w:rFonts w:asciiTheme="majorBidi" w:eastAsia="Cambria" w:hAnsiTheme="majorBidi" w:cstheme="majorBidi"/>
          <w:highlight w:val="green"/>
        </w:rPr>
      </w:pPr>
    </w:p>
    <w:p w14:paraId="45088AF8" w14:textId="77777777" w:rsidR="00353CB5" w:rsidRPr="00FC49BF" w:rsidRDefault="00353CB5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47806">
        <w:rPr>
          <w:rFonts w:asciiTheme="majorBidi" w:hAnsiTheme="majorBidi" w:cstheme="majorBidi"/>
          <w:color w:val="000000" w:themeColor="text1"/>
        </w:rPr>
        <w:t xml:space="preserve">OmniMetrix's </w:t>
      </w:r>
      <w:r w:rsidR="00BC6D63" w:rsidRPr="00A47806">
        <w:rPr>
          <w:rFonts w:asciiTheme="majorBidi" w:hAnsiTheme="majorBidi" w:cstheme="majorBidi"/>
          <w:color w:val="000000" w:themeColor="text1"/>
        </w:rPr>
        <w:t>fourth</w:t>
      </w:r>
      <w:r w:rsidR="002D621E" w:rsidRPr="00A47806">
        <w:rPr>
          <w:rFonts w:asciiTheme="majorBidi" w:hAnsiTheme="majorBidi" w:cstheme="majorBidi"/>
          <w:color w:val="000000" w:themeColor="text1"/>
        </w:rPr>
        <w:t xml:space="preserve"> </w:t>
      </w:r>
      <w:r w:rsidRPr="00A47806">
        <w:rPr>
          <w:rFonts w:asciiTheme="majorBidi" w:hAnsiTheme="majorBidi" w:cstheme="majorBidi"/>
          <w:color w:val="000000" w:themeColor="text1"/>
        </w:rPr>
        <w:t xml:space="preserve">quarter </w:t>
      </w:r>
      <w:r w:rsidR="005C54BB" w:rsidRPr="00A47806">
        <w:rPr>
          <w:rFonts w:asciiTheme="majorBidi" w:hAnsiTheme="majorBidi" w:cstheme="majorBidi"/>
          <w:color w:val="000000" w:themeColor="text1"/>
        </w:rPr>
        <w:t xml:space="preserve">2018 </w:t>
      </w:r>
      <w:r w:rsidR="001F36D6" w:rsidRPr="00A47806">
        <w:rPr>
          <w:rFonts w:asciiTheme="majorBidi" w:hAnsiTheme="majorBidi" w:cstheme="majorBidi"/>
          <w:color w:val="000000" w:themeColor="text1"/>
        </w:rPr>
        <w:t xml:space="preserve">operating </w:t>
      </w:r>
      <w:r w:rsidRPr="00A47806">
        <w:rPr>
          <w:rFonts w:asciiTheme="majorBidi" w:hAnsiTheme="majorBidi" w:cstheme="majorBidi"/>
          <w:color w:val="000000" w:themeColor="text1"/>
        </w:rPr>
        <w:t xml:space="preserve">expenses </w:t>
      </w:r>
      <w:r w:rsidR="001F36D6" w:rsidRPr="00A47806">
        <w:rPr>
          <w:rFonts w:asciiTheme="majorBidi" w:hAnsiTheme="majorBidi" w:cstheme="majorBidi"/>
          <w:color w:val="000000" w:themeColor="text1"/>
        </w:rPr>
        <w:t>were</w:t>
      </w:r>
      <w:r w:rsidR="006F37E4" w:rsidRPr="00A47806">
        <w:rPr>
          <w:rFonts w:asciiTheme="majorBidi" w:hAnsiTheme="majorBidi" w:cstheme="majorBidi"/>
          <w:color w:val="000000" w:themeColor="text1"/>
        </w:rPr>
        <w:t xml:space="preserve"> relatively flat at</w:t>
      </w:r>
      <w:r w:rsidR="001F36D6" w:rsidRPr="00A47806">
        <w:rPr>
          <w:rFonts w:asciiTheme="majorBidi" w:hAnsiTheme="majorBidi" w:cstheme="majorBidi"/>
          <w:color w:val="000000" w:themeColor="text1"/>
        </w:rPr>
        <w:t xml:space="preserve"> $</w:t>
      </w:r>
      <w:r w:rsidR="006F37E4" w:rsidRPr="00A47806">
        <w:rPr>
          <w:rFonts w:asciiTheme="majorBidi" w:hAnsiTheme="majorBidi" w:cstheme="majorBidi"/>
          <w:color w:val="000000" w:themeColor="text1"/>
        </w:rPr>
        <w:t>814,000</w:t>
      </w:r>
      <w:r w:rsidR="00BC6D63" w:rsidRPr="00A47806">
        <w:rPr>
          <w:rFonts w:asciiTheme="majorBidi" w:hAnsiTheme="majorBidi" w:cstheme="majorBidi"/>
          <w:color w:val="000000" w:themeColor="text1"/>
        </w:rPr>
        <w:t xml:space="preserve"> </w:t>
      </w:r>
      <w:r w:rsidR="00BC6D63" w:rsidRPr="00F62128">
        <w:rPr>
          <w:rFonts w:asciiTheme="majorBidi" w:hAnsiTheme="majorBidi" w:cstheme="majorBidi"/>
          <w:color w:val="000000" w:themeColor="text1"/>
        </w:rPr>
        <w:t>vers</w:t>
      </w:r>
      <w:r w:rsidR="00BC6D63" w:rsidRPr="00151F04">
        <w:rPr>
          <w:rFonts w:asciiTheme="majorBidi" w:hAnsiTheme="majorBidi" w:cstheme="majorBidi"/>
          <w:color w:val="000000" w:themeColor="text1"/>
        </w:rPr>
        <w:t>us $815</w:t>
      </w:r>
      <w:r w:rsidR="001F36D6" w:rsidRPr="00151F04">
        <w:rPr>
          <w:rFonts w:asciiTheme="majorBidi" w:hAnsiTheme="majorBidi" w:cstheme="majorBidi"/>
          <w:color w:val="000000" w:themeColor="text1"/>
        </w:rPr>
        <w:t xml:space="preserve">,000 in the </w:t>
      </w:r>
      <w:r w:rsidR="00A73C19" w:rsidRPr="00151F04">
        <w:rPr>
          <w:rFonts w:asciiTheme="majorBidi" w:hAnsiTheme="majorBidi" w:cstheme="majorBidi"/>
          <w:color w:val="000000" w:themeColor="text1"/>
        </w:rPr>
        <w:t>fourth</w:t>
      </w:r>
      <w:r w:rsidR="00A73C19" w:rsidRPr="00A73C19">
        <w:rPr>
          <w:rFonts w:asciiTheme="majorBidi" w:hAnsiTheme="majorBidi" w:cstheme="majorBidi"/>
          <w:color w:val="000000" w:themeColor="text1"/>
        </w:rPr>
        <w:t xml:space="preserve"> </w:t>
      </w:r>
      <w:r w:rsidRPr="00A73C19">
        <w:rPr>
          <w:rFonts w:asciiTheme="majorBidi" w:hAnsiTheme="majorBidi" w:cstheme="majorBidi"/>
          <w:color w:val="000000" w:themeColor="text1"/>
        </w:rPr>
        <w:t xml:space="preserve">quarter </w:t>
      </w:r>
      <w:r w:rsidR="00A96918" w:rsidRPr="00A73C19">
        <w:rPr>
          <w:rFonts w:asciiTheme="majorBidi" w:hAnsiTheme="majorBidi" w:cstheme="majorBidi"/>
          <w:color w:val="000000" w:themeColor="text1"/>
        </w:rPr>
        <w:t xml:space="preserve">of </w:t>
      </w:r>
      <w:r w:rsidRPr="00A73C19">
        <w:rPr>
          <w:rFonts w:asciiTheme="majorBidi" w:hAnsiTheme="majorBidi" w:cstheme="majorBidi"/>
          <w:color w:val="000000" w:themeColor="text1"/>
        </w:rPr>
        <w:t>2017</w:t>
      </w:r>
      <w:r w:rsidR="006F37E4" w:rsidRPr="00A73C19">
        <w:rPr>
          <w:rFonts w:asciiTheme="majorBidi" w:hAnsiTheme="majorBidi" w:cstheme="majorBidi"/>
          <w:color w:val="000000" w:themeColor="text1"/>
        </w:rPr>
        <w:t>.</w:t>
      </w:r>
    </w:p>
    <w:p w14:paraId="73C82F5F" w14:textId="77777777" w:rsidR="00353CB5" w:rsidRPr="00FC49BF" w:rsidRDefault="00353CB5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1CE4333" w14:textId="77777777" w:rsidR="00353CB5" w:rsidRPr="00FC49BF" w:rsidRDefault="00A73C19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OmniMetrix’s </w:t>
      </w:r>
      <w:r w:rsidR="008A1CEB">
        <w:rPr>
          <w:rFonts w:asciiTheme="majorBidi" w:hAnsiTheme="majorBidi" w:cstheme="majorBidi"/>
          <w:color w:val="000000" w:themeColor="text1"/>
        </w:rPr>
        <w:t>r</w:t>
      </w:r>
      <w:r w:rsidR="00D346D1">
        <w:rPr>
          <w:rFonts w:asciiTheme="majorBidi" w:hAnsiTheme="majorBidi" w:cstheme="majorBidi"/>
          <w:color w:val="000000" w:themeColor="text1"/>
        </w:rPr>
        <w:t>ev</w:t>
      </w:r>
      <w:r w:rsidR="002865D1">
        <w:rPr>
          <w:rFonts w:asciiTheme="majorBidi" w:hAnsiTheme="majorBidi" w:cstheme="majorBidi"/>
          <w:color w:val="000000" w:themeColor="text1"/>
        </w:rPr>
        <w:t>enue and gross profit growth</w:t>
      </w:r>
      <w:r w:rsidR="003019A9">
        <w:rPr>
          <w:rFonts w:asciiTheme="majorBidi" w:hAnsiTheme="majorBidi" w:cstheme="majorBidi"/>
          <w:color w:val="000000" w:themeColor="text1"/>
        </w:rPr>
        <w:t>,</w:t>
      </w:r>
      <w:r w:rsidR="002865D1">
        <w:rPr>
          <w:rFonts w:asciiTheme="majorBidi" w:hAnsiTheme="majorBidi" w:cstheme="majorBidi"/>
          <w:color w:val="000000" w:themeColor="text1"/>
        </w:rPr>
        <w:t xml:space="preserve"> combined with</w:t>
      </w:r>
      <w:r w:rsidR="00D346D1">
        <w:rPr>
          <w:rFonts w:asciiTheme="majorBidi" w:hAnsiTheme="majorBidi" w:cstheme="majorBidi"/>
          <w:color w:val="000000" w:themeColor="text1"/>
        </w:rPr>
        <w:t xml:space="preserve"> stable operating cost</w:t>
      </w:r>
      <w:r w:rsidR="006F37E4">
        <w:rPr>
          <w:rFonts w:asciiTheme="majorBidi" w:hAnsiTheme="majorBidi" w:cstheme="majorBidi"/>
          <w:color w:val="000000" w:themeColor="text1"/>
        </w:rPr>
        <w:t>s</w:t>
      </w:r>
      <w:r w:rsidR="003019A9">
        <w:rPr>
          <w:rFonts w:asciiTheme="majorBidi" w:hAnsiTheme="majorBidi" w:cstheme="majorBidi"/>
          <w:color w:val="000000" w:themeColor="text1"/>
        </w:rPr>
        <w:t>,</w:t>
      </w:r>
      <w:r w:rsidR="006F37E4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brought its </w:t>
      </w:r>
      <w:r w:rsidR="006F37E4">
        <w:rPr>
          <w:rFonts w:asciiTheme="majorBidi" w:hAnsiTheme="majorBidi" w:cstheme="majorBidi"/>
          <w:color w:val="000000" w:themeColor="text1"/>
        </w:rPr>
        <w:t>operating loss</w:t>
      </w:r>
      <w:r w:rsidR="00C27542" w:rsidRPr="00FC49BF">
        <w:rPr>
          <w:rFonts w:asciiTheme="majorBidi" w:hAnsiTheme="majorBidi" w:cstheme="majorBidi"/>
          <w:color w:val="000000" w:themeColor="text1"/>
        </w:rPr>
        <w:t xml:space="preserve"> </w:t>
      </w:r>
      <w:r w:rsidR="00935457">
        <w:rPr>
          <w:rFonts w:asciiTheme="majorBidi" w:hAnsiTheme="majorBidi" w:cstheme="majorBidi"/>
          <w:color w:val="000000" w:themeColor="text1"/>
        </w:rPr>
        <w:t xml:space="preserve">to </w:t>
      </w:r>
      <w:r w:rsidR="00070A57">
        <w:rPr>
          <w:rFonts w:asciiTheme="majorBidi" w:hAnsiTheme="majorBidi" w:cstheme="majorBidi"/>
          <w:color w:val="000000" w:themeColor="text1"/>
        </w:rPr>
        <w:t>near break-</w:t>
      </w:r>
      <w:r w:rsidR="00070A57" w:rsidRPr="00DE593C">
        <w:rPr>
          <w:rFonts w:asciiTheme="majorBidi" w:hAnsiTheme="majorBidi" w:cstheme="majorBidi"/>
          <w:color w:val="000000" w:themeColor="text1"/>
        </w:rPr>
        <w:t xml:space="preserve">even (a </w:t>
      </w:r>
      <w:r w:rsidR="00353CB5" w:rsidRPr="00A84A59">
        <w:rPr>
          <w:rFonts w:asciiTheme="majorBidi" w:hAnsiTheme="majorBidi" w:cstheme="majorBidi"/>
          <w:color w:val="000000" w:themeColor="text1"/>
        </w:rPr>
        <w:t>$</w:t>
      </w:r>
      <w:r w:rsidR="00F46F5B" w:rsidRPr="00A84A59">
        <w:rPr>
          <w:rFonts w:asciiTheme="majorBidi" w:hAnsiTheme="majorBidi" w:cstheme="majorBidi"/>
          <w:color w:val="000000" w:themeColor="text1"/>
        </w:rPr>
        <w:t>4</w:t>
      </w:r>
      <w:r w:rsidR="00353CB5" w:rsidRPr="00A84A59">
        <w:rPr>
          <w:rFonts w:asciiTheme="majorBidi" w:hAnsiTheme="majorBidi" w:cstheme="majorBidi"/>
          <w:color w:val="000000" w:themeColor="text1"/>
        </w:rPr>
        <w:t>,</w:t>
      </w:r>
      <w:r w:rsidR="00C217DE" w:rsidRPr="00A84A59">
        <w:rPr>
          <w:rFonts w:asciiTheme="majorBidi" w:hAnsiTheme="majorBidi" w:cstheme="majorBidi"/>
          <w:color w:val="000000" w:themeColor="text1"/>
        </w:rPr>
        <w:t>000</w:t>
      </w:r>
      <w:r w:rsidR="00070A57" w:rsidRPr="00DE593C">
        <w:rPr>
          <w:rFonts w:asciiTheme="majorBidi" w:hAnsiTheme="majorBidi" w:cstheme="majorBidi"/>
          <w:color w:val="000000" w:themeColor="text1"/>
        </w:rPr>
        <w:t xml:space="preserve"> loss</w:t>
      </w:r>
      <w:r w:rsidR="002865D1" w:rsidRPr="00DE593C">
        <w:rPr>
          <w:rFonts w:asciiTheme="majorBidi" w:hAnsiTheme="majorBidi" w:cstheme="majorBidi"/>
          <w:color w:val="000000" w:themeColor="text1"/>
        </w:rPr>
        <w:t>)</w:t>
      </w:r>
      <w:r w:rsidR="00353CB5" w:rsidRPr="00DE593C">
        <w:rPr>
          <w:rFonts w:asciiTheme="majorBidi" w:hAnsiTheme="majorBidi" w:cstheme="majorBidi"/>
          <w:color w:val="000000" w:themeColor="text1"/>
        </w:rPr>
        <w:t xml:space="preserve"> in</w:t>
      </w:r>
      <w:r w:rsidR="00353CB5" w:rsidRPr="00FC49BF">
        <w:rPr>
          <w:rFonts w:asciiTheme="majorBidi" w:hAnsiTheme="majorBidi" w:cstheme="majorBidi"/>
          <w:color w:val="000000" w:themeColor="text1"/>
        </w:rPr>
        <w:t xml:space="preserve"> the </w:t>
      </w:r>
      <w:r w:rsidR="00F46F5B">
        <w:rPr>
          <w:rFonts w:asciiTheme="majorBidi" w:hAnsiTheme="majorBidi" w:cstheme="majorBidi"/>
          <w:color w:val="000000" w:themeColor="text1"/>
        </w:rPr>
        <w:t>fourth</w:t>
      </w:r>
      <w:r w:rsidR="002D621E" w:rsidRPr="00FC49BF">
        <w:rPr>
          <w:rFonts w:asciiTheme="majorBidi" w:hAnsiTheme="majorBidi" w:cstheme="majorBidi"/>
          <w:color w:val="000000" w:themeColor="text1"/>
        </w:rPr>
        <w:t xml:space="preserve"> </w:t>
      </w:r>
      <w:r w:rsidR="00C27542" w:rsidRPr="00FC49BF">
        <w:rPr>
          <w:rFonts w:asciiTheme="majorBidi" w:hAnsiTheme="majorBidi" w:cstheme="majorBidi"/>
          <w:color w:val="000000" w:themeColor="text1"/>
        </w:rPr>
        <w:t>quarter of 2018 versus an operating loss of</w:t>
      </w:r>
      <w:r w:rsidR="00353CB5" w:rsidRPr="00FC49BF">
        <w:rPr>
          <w:rFonts w:asciiTheme="majorBidi" w:hAnsiTheme="majorBidi" w:cstheme="majorBidi"/>
          <w:color w:val="000000" w:themeColor="text1"/>
        </w:rPr>
        <w:t xml:space="preserve"> $</w:t>
      </w:r>
      <w:r w:rsidR="00F46F5B">
        <w:rPr>
          <w:rFonts w:asciiTheme="majorBidi" w:hAnsiTheme="majorBidi" w:cstheme="majorBidi"/>
          <w:color w:val="000000" w:themeColor="text1"/>
        </w:rPr>
        <w:t>205</w:t>
      </w:r>
      <w:r w:rsidR="00B2728A" w:rsidRPr="00FC49BF">
        <w:rPr>
          <w:rFonts w:asciiTheme="majorBidi" w:hAnsiTheme="majorBidi" w:cstheme="majorBidi"/>
          <w:color w:val="000000" w:themeColor="text1"/>
        </w:rPr>
        <w:t>,000</w:t>
      </w:r>
      <w:r w:rsidR="00353CB5" w:rsidRPr="00FC49BF">
        <w:rPr>
          <w:rFonts w:asciiTheme="majorBidi" w:hAnsiTheme="majorBidi" w:cstheme="majorBidi"/>
          <w:color w:val="000000" w:themeColor="text1"/>
        </w:rPr>
        <w:t xml:space="preserve"> in the </w:t>
      </w:r>
      <w:r w:rsidR="00F46F5B">
        <w:rPr>
          <w:rFonts w:asciiTheme="majorBidi" w:hAnsiTheme="majorBidi" w:cstheme="majorBidi"/>
          <w:color w:val="000000" w:themeColor="text1"/>
        </w:rPr>
        <w:t>fourth</w:t>
      </w:r>
      <w:r w:rsidR="00B2728A" w:rsidRPr="00FC49BF">
        <w:rPr>
          <w:rFonts w:asciiTheme="majorBidi" w:hAnsiTheme="majorBidi" w:cstheme="majorBidi"/>
          <w:color w:val="000000" w:themeColor="text1"/>
        </w:rPr>
        <w:t xml:space="preserve"> </w:t>
      </w:r>
      <w:r w:rsidR="00353CB5" w:rsidRPr="00FC49BF">
        <w:rPr>
          <w:rFonts w:asciiTheme="majorBidi" w:hAnsiTheme="majorBidi" w:cstheme="majorBidi"/>
          <w:color w:val="000000" w:themeColor="text1"/>
        </w:rPr>
        <w:t>quarter of 2017.</w:t>
      </w:r>
      <w:r w:rsidR="00A67E4E" w:rsidRPr="00FC49BF">
        <w:rPr>
          <w:rFonts w:asciiTheme="majorBidi" w:hAnsiTheme="majorBidi" w:cstheme="majorBidi"/>
          <w:color w:val="000000" w:themeColor="text1"/>
        </w:rPr>
        <w:t xml:space="preserve"> </w:t>
      </w:r>
      <w:r w:rsidR="00935457">
        <w:rPr>
          <w:rFonts w:asciiTheme="majorBidi" w:hAnsiTheme="majorBidi" w:cstheme="majorBidi"/>
          <w:color w:val="000000" w:themeColor="text1"/>
        </w:rPr>
        <w:t xml:space="preserve">For the </w:t>
      </w:r>
      <w:r>
        <w:rPr>
          <w:rFonts w:asciiTheme="majorBidi" w:hAnsiTheme="majorBidi" w:cstheme="majorBidi"/>
          <w:color w:val="000000" w:themeColor="text1"/>
        </w:rPr>
        <w:t xml:space="preserve">full </w:t>
      </w:r>
      <w:r w:rsidR="00935457">
        <w:rPr>
          <w:rFonts w:asciiTheme="majorBidi" w:hAnsiTheme="majorBidi" w:cstheme="majorBidi"/>
          <w:color w:val="000000" w:themeColor="text1"/>
        </w:rPr>
        <w:t>year</w:t>
      </w:r>
      <w:r>
        <w:rPr>
          <w:rFonts w:asciiTheme="majorBidi" w:hAnsiTheme="majorBidi" w:cstheme="majorBidi"/>
          <w:color w:val="000000" w:themeColor="text1"/>
        </w:rPr>
        <w:t xml:space="preserve"> 2018</w:t>
      </w:r>
      <w:r w:rsidR="00935457">
        <w:rPr>
          <w:rFonts w:asciiTheme="majorBidi" w:hAnsiTheme="majorBidi" w:cstheme="majorBidi"/>
          <w:color w:val="000000" w:themeColor="text1"/>
        </w:rPr>
        <w:t xml:space="preserve">, </w:t>
      </w:r>
      <w:r w:rsidR="00352FF3" w:rsidRPr="00FC49BF">
        <w:rPr>
          <w:rFonts w:asciiTheme="majorBidi" w:hAnsiTheme="majorBidi" w:cstheme="majorBidi"/>
          <w:color w:val="000000" w:themeColor="text1"/>
        </w:rPr>
        <w:t xml:space="preserve">OmniMetrix </w:t>
      </w:r>
      <w:r>
        <w:rPr>
          <w:rFonts w:asciiTheme="majorBidi" w:hAnsiTheme="majorBidi" w:cstheme="majorBidi"/>
          <w:color w:val="000000" w:themeColor="text1"/>
        </w:rPr>
        <w:t xml:space="preserve">substantially </w:t>
      </w:r>
      <w:r w:rsidR="00352FF3" w:rsidRPr="00FC49BF">
        <w:rPr>
          <w:rFonts w:asciiTheme="majorBidi" w:hAnsiTheme="majorBidi" w:cstheme="majorBidi"/>
          <w:color w:val="000000" w:themeColor="text1"/>
        </w:rPr>
        <w:t>reduced its</w:t>
      </w:r>
      <w:r w:rsidR="00FC49BF" w:rsidRPr="00FC49BF">
        <w:rPr>
          <w:rFonts w:asciiTheme="majorBidi" w:hAnsiTheme="majorBidi" w:cstheme="majorBidi"/>
          <w:color w:val="000000" w:themeColor="text1"/>
        </w:rPr>
        <w:t xml:space="preserve"> </w:t>
      </w:r>
      <w:r w:rsidR="00D346D1">
        <w:rPr>
          <w:rFonts w:asciiTheme="majorBidi" w:hAnsiTheme="majorBidi" w:cstheme="majorBidi"/>
          <w:color w:val="000000" w:themeColor="text1"/>
        </w:rPr>
        <w:t xml:space="preserve">operating </w:t>
      </w:r>
      <w:r w:rsidR="00F46F5B">
        <w:rPr>
          <w:rFonts w:asciiTheme="majorBidi" w:hAnsiTheme="majorBidi" w:cstheme="majorBidi"/>
          <w:color w:val="000000" w:themeColor="text1"/>
        </w:rPr>
        <w:t>loss to $116</w:t>
      </w:r>
      <w:r w:rsidR="00C217DE" w:rsidRPr="00FC49BF">
        <w:rPr>
          <w:rFonts w:asciiTheme="majorBidi" w:hAnsiTheme="majorBidi" w:cstheme="majorBidi"/>
          <w:color w:val="000000" w:themeColor="text1"/>
        </w:rPr>
        <w:t>,000</w:t>
      </w:r>
      <w:r w:rsidR="00935457">
        <w:rPr>
          <w:rFonts w:asciiTheme="majorBidi" w:hAnsiTheme="majorBidi" w:cstheme="majorBidi"/>
          <w:color w:val="000000" w:themeColor="text1"/>
        </w:rPr>
        <w:t xml:space="preserve"> </w:t>
      </w:r>
      <w:r w:rsidR="00F46F5B">
        <w:rPr>
          <w:rFonts w:asciiTheme="majorBidi" w:hAnsiTheme="majorBidi" w:cstheme="majorBidi"/>
          <w:color w:val="000000" w:themeColor="text1"/>
        </w:rPr>
        <w:t>from $783,000 in</w:t>
      </w:r>
      <w:r w:rsidR="00352FF3" w:rsidRPr="00FC49BF">
        <w:rPr>
          <w:rFonts w:asciiTheme="majorBidi" w:hAnsiTheme="majorBidi" w:cstheme="majorBidi"/>
          <w:color w:val="000000" w:themeColor="text1"/>
        </w:rPr>
        <w:t xml:space="preserve"> 2017.</w:t>
      </w:r>
    </w:p>
    <w:p w14:paraId="40F4E6C0" w14:textId="77777777" w:rsidR="00353CB5" w:rsidRDefault="00353CB5" w:rsidP="00353CB5">
      <w:pPr>
        <w:spacing w:line="276" w:lineRule="auto"/>
        <w:rPr>
          <w:rFonts w:asciiTheme="majorBidi" w:hAnsiTheme="majorBidi" w:cstheme="majorBidi"/>
          <w:color w:val="000000" w:themeColor="text1"/>
          <w:highlight w:val="yellow"/>
        </w:rPr>
      </w:pPr>
    </w:p>
    <w:p w14:paraId="0E452AD2" w14:textId="77777777" w:rsidR="00A73C19" w:rsidRPr="00A84A59" w:rsidRDefault="00A73C19" w:rsidP="00353CB5">
      <w:pPr>
        <w:spacing w:line="276" w:lineRule="auto"/>
        <w:rPr>
          <w:rFonts w:asciiTheme="majorBidi" w:hAnsiTheme="majorBidi" w:cstheme="majorBidi"/>
          <w:b/>
          <w:color w:val="000000" w:themeColor="text1"/>
        </w:rPr>
      </w:pPr>
      <w:r w:rsidRPr="00A84A59">
        <w:rPr>
          <w:rFonts w:asciiTheme="majorBidi" w:hAnsiTheme="majorBidi" w:cstheme="majorBidi"/>
          <w:b/>
          <w:color w:val="000000" w:themeColor="text1"/>
        </w:rPr>
        <w:t>Acorn Consolidated Financial Results</w:t>
      </w:r>
    </w:p>
    <w:p w14:paraId="0E887051" w14:textId="77777777" w:rsidR="00465C0B" w:rsidRPr="00465C0B" w:rsidRDefault="001D0529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  <w:r w:rsidRPr="00DE593C">
        <w:rPr>
          <w:rFonts w:asciiTheme="majorBidi" w:hAnsiTheme="majorBidi" w:cstheme="majorBidi"/>
          <w:color w:val="000000" w:themeColor="text1"/>
        </w:rPr>
        <w:t>Acorn’s c</w:t>
      </w:r>
      <w:r w:rsidR="00D7679F" w:rsidRPr="00DE593C">
        <w:rPr>
          <w:rFonts w:asciiTheme="majorBidi" w:hAnsiTheme="majorBidi" w:cstheme="majorBidi"/>
          <w:color w:val="000000" w:themeColor="text1"/>
        </w:rPr>
        <w:t xml:space="preserve">orporate </w:t>
      </w:r>
      <w:r w:rsidR="00465C0B" w:rsidRPr="00DE593C">
        <w:rPr>
          <w:rFonts w:asciiTheme="majorBidi" w:hAnsiTheme="majorBidi" w:cstheme="majorBidi"/>
          <w:color w:val="000000" w:themeColor="text1"/>
        </w:rPr>
        <w:t xml:space="preserve">G&amp;A costs decreased </w:t>
      </w:r>
      <w:r w:rsidR="00672229" w:rsidRPr="00A84A59">
        <w:rPr>
          <w:rFonts w:asciiTheme="majorBidi" w:hAnsiTheme="majorBidi" w:cstheme="majorBidi"/>
          <w:color w:val="000000" w:themeColor="text1"/>
        </w:rPr>
        <w:t>31</w:t>
      </w:r>
      <w:r w:rsidR="00E97FCE" w:rsidRPr="00A84A59">
        <w:rPr>
          <w:rFonts w:asciiTheme="majorBidi" w:hAnsiTheme="majorBidi" w:cstheme="majorBidi"/>
          <w:color w:val="000000" w:themeColor="text1"/>
        </w:rPr>
        <w:t xml:space="preserve">% </w:t>
      </w:r>
      <w:r w:rsidR="002B1999" w:rsidRPr="00A84A59">
        <w:rPr>
          <w:rFonts w:asciiTheme="majorBidi" w:hAnsiTheme="majorBidi" w:cstheme="majorBidi"/>
          <w:color w:val="000000" w:themeColor="text1"/>
        </w:rPr>
        <w:t>to $230,000</w:t>
      </w:r>
      <w:r w:rsidR="002B1999" w:rsidRPr="00DE593C">
        <w:rPr>
          <w:rFonts w:asciiTheme="majorBidi" w:hAnsiTheme="majorBidi" w:cstheme="majorBidi"/>
          <w:color w:val="000000" w:themeColor="text1"/>
        </w:rPr>
        <w:t xml:space="preserve"> in the fourth</w:t>
      </w:r>
      <w:r w:rsidR="00465C0B">
        <w:rPr>
          <w:rFonts w:asciiTheme="majorBidi" w:hAnsiTheme="majorBidi" w:cstheme="majorBidi"/>
          <w:color w:val="000000" w:themeColor="text1"/>
        </w:rPr>
        <w:t xml:space="preserve"> quarter of</w:t>
      </w:r>
      <w:r w:rsidR="00672229">
        <w:rPr>
          <w:rFonts w:asciiTheme="majorBidi" w:hAnsiTheme="majorBidi" w:cstheme="majorBidi"/>
          <w:color w:val="000000" w:themeColor="text1"/>
        </w:rPr>
        <w:t xml:space="preserve"> 2018 compared to $331</w:t>
      </w:r>
      <w:r w:rsidR="00465C0B">
        <w:rPr>
          <w:rFonts w:asciiTheme="majorBidi" w:hAnsiTheme="majorBidi" w:cstheme="majorBidi"/>
          <w:color w:val="000000" w:themeColor="text1"/>
        </w:rPr>
        <w:t>,0</w:t>
      </w:r>
      <w:r w:rsidR="002B1999">
        <w:rPr>
          <w:rFonts w:asciiTheme="majorBidi" w:hAnsiTheme="majorBidi" w:cstheme="majorBidi"/>
          <w:color w:val="000000" w:themeColor="text1"/>
        </w:rPr>
        <w:t>00 in the fourth</w:t>
      </w:r>
      <w:r w:rsidR="00E97FCE">
        <w:rPr>
          <w:rFonts w:asciiTheme="majorBidi" w:hAnsiTheme="majorBidi" w:cstheme="majorBidi"/>
          <w:color w:val="000000" w:themeColor="text1"/>
        </w:rPr>
        <w:t xml:space="preserve"> quarter of 2017, </w:t>
      </w:r>
      <w:r w:rsidR="00A73C19">
        <w:rPr>
          <w:rFonts w:asciiTheme="majorBidi" w:hAnsiTheme="majorBidi" w:cstheme="majorBidi"/>
          <w:color w:val="000000" w:themeColor="text1"/>
        </w:rPr>
        <w:t>reflecting an ongoing cost</w:t>
      </w:r>
      <w:r w:rsidR="006E05D6">
        <w:rPr>
          <w:rFonts w:asciiTheme="majorBidi" w:hAnsiTheme="majorBidi" w:cstheme="majorBidi"/>
          <w:color w:val="000000" w:themeColor="text1"/>
        </w:rPr>
        <w:t xml:space="preserve"> discipline which has achieved reductions in compensation</w:t>
      </w:r>
      <w:r w:rsidR="00C57280">
        <w:rPr>
          <w:rFonts w:asciiTheme="majorBidi" w:hAnsiTheme="majorBidi" w:cstheme="majorBidi"/>
          <w:color w:val="000000" w:themeColor="text1"/>
        </w:rPr>
        <w:t>, public company costs</w:t>
      </w:r>
      <w:r w:rsidR="006E05D6">
        <w:rPr>
          <w:rFonts w:asciiTheme="majorBidi" w:hAnsiTheme="majorBidi" w:cstheme="majorBidi"/>
          <w:color w:val="000000" w:themeColor="text1"/>
        </w:rPr>
        <w:t xml:space="preserve"> and </w:t>
      </w:r>
      <w:r w:rsidR="00151F04">
        <w:rPr>
          <w:rFonts w:asciiTheme="majorBidi" w:hAnsiTheme="majorBidi" w:cstheme="majorBidi"/>
          <w:color w:val="000000" w:themeColor="text1"/>
        </w:rPr>
        <w:t xml:space="preserve">other general and administrative </w:t>
      </w:r>
      <w:r w:rsidR="006E05D6">
        <w:rPr>
          <w:rFonts w:asciiTheme="majorBidi" w:hAnsiTheme="majorBidi" w:cstheme="majorBidi"/>
          <w:color w:val="000000" w:themeColor="text1"/>
        </w:rPr>
        <w:t xml:space="preserve">expenses. </w:t>
      </w:r>
    </w:p>
    <w:p w14:paraId="2349857B" w14:textId="77777777" w:rsidR="00465C0B" w:rsidRPr="00CA68B4" w:rsidRDefault="00465C0B" w:rsidP="00353CB5">
      <w:pPr>
        <w:spacing w:line="276" w:lineRule="auto"/>
        <w:rPr>
          <w:rFonts w:asciiTheme="majorBidi" w:hAnsiTheme="majorBidi" w:cstheme="majorBidi"/>
          <w:color w:val="000000" w:themeColor="text1"/>
          <w:highlight w:val="yellow"/>
        </w:rPr>
      </w:pPr>
    </w:p>
    <w:p w14:paraId="5692800C" w14:textId="77777777" w:rsidR="0004373D" w:rsidRDefault="00D7679F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G&amp;A </w:t>
      </w:r>
      <w:r w:rsidR="00C57280">
        <w:rPr>
          <w:rFonts w:asciiTheme="majorBidi" w:hAnsiTheme="majorBidi" w:cstheme="majorBidi"/>
          <w:color w:val="000000" w:themeColor="text1"/>
        </w:rPr>
        <w:t>reductions realized through maximizing operating efficiencies</w:t>
      </w:r>
      <w:r w:rsidRPr="00C57280">
        <w:rPr>
          <w:rFonts w:asciiTheme="majorBidi" w:hAnsiTheme="majorBidi" w:cstheme="majorBidi"/>
          <w:color w:val="000000" w:themeColor="text1"/>
        </w:rPr>
        <w:t xml:space="preserve"> allowed Acorn to reduce its</w:t>
      </w:r>
      <w:r w:rsidR="00353CB5" w:rsidRPr="00C57280">
        <w:rPr>
          <w:rFonts w:asciiTheme="majorBidi" w:hAnsiTheme="majorBidi" w:cstheme="majorBidi"/>
          <w:color w:val="000000" w:themeColor="text1"/>
        </w:rPr>
        <w:t xml:space="preserve"> consolidated operating loss </w:t>
      </w:r>
      <w:r w:rsidR="001D0529" w:rsidRPr="00C57280">
        <w:rPr>
          <w:rFonts w:asciiTheme="majorBidi" w:hAnsiTheme="majorBidi" w:cstheme="majorBidi"/>
          <w:color w:val="000000" w:themeColor="text1"/>
        </w:rPr>
        <w:t xml:space="preserve">by more than half to </w:t>
      </w:r>
      <w:r w:rsidR="00353CB5" w:rsidRPr="00A84A59">
        <w:rPr>
          <w:rFonts w:asciiTheme="majorBidi" w:hAnsiTheme="majorBidi" w:cstheme="majorBidi"/>
          <w:color w:val="000000" w:themeColor="text1"/>
        </w:rPr>
        <w:t>$</w:t>
      </w:r>
      <w:r w:rsidR="00672229" w:rsidRPr="00A84A59">
        <w:rPr>
          <w:rFonts w:asciiTheme="majorBidi" w:hAnsiTheme="majorBidi" w:cstheme="majorBidi"/>
          <w:color w:val="000000" w:themeColor="text1"/>
        </w:rPr>
        <w:t>234</w:t>
      </w:r>
      <w:r w:rsidR="00B2728A" w:rsidRPr="00A84A59">
        <w:rPr>
          <w:rFonts w:asciiTheme="majorBidi" w:hAnsiTheme="majorBidi" w:cstheme="majorBidi"/>
          <w:color w:val="000000" w:themeColor="text1"/>
        </w:rPr>
        <w:t>,</w:t>
      </w:r>
      <w:r w:rsidR="00A67E4E" w:rsidRPr="00A84A59">
        <w:rPr>
          <w:rFonts w:asciiTheme="majorBidi" w:hAnsiTheme="majorBidi" w:cstheme="majorBidi"/>
          <w:color w:val="000000" w:themeColor="text1"/>
        </w:rPr>
        <w:t>000</w:t>
      </w:r>
      <w:r w:rsidR="00353CB5" w:rsidRPr="00C57280">
        <w:rPr>
          <w:rFonts w:asciiTheme="majorBidi" w:hAnsiTheme="majorBidi" w:cstheme="majorBidi"/>
          <w:color w:val="000000" w:themeColor="text1"/>
        </w:rPr>
        <w:t xml:space="preserve"> in </w:t>
      </w:r>
      <w:r w:rsidR="00672229" w:rsidRPr="00C57280">
        <w:rPr>
          <w:rFonts w:asciiTheme="majorBidi" w:hAnsiTheme="majorBidi" w:cstheme="majorBidi"/>
          <w:color w:val="000000" w:themeColor="text1"/>
        </w:rPr>
        <w:t>the fourth</w:t>
      </w:r>
      <w:r w:rsidR="00B2728A" w:rsidRPr="00C57280">
        <w:rPr>
          <w:rFonts w:asciiTheme="majorBidi" w:hAnsiTheme="majorBidi" w:cstheme="majorBidi"/>
          <w:color w:val="000000" w:themeColor="text1"/>
        </w:rPr>
        <w:t xml:space="preserve"> </w:t>
      </w:r>
      <w:r w:rsidR="00353CB5" w:rsidRPr="005123FF">
        <w:rPr>
          <w:rFonts w:asciiTheme="majorBidi" w:hAnsiTheme="majorBidi" w:cstheme="majorBidi"/>
          <w:color w:val="000000" w:themeColor="text1"/>
        </w:rPr>
        <w:t xml:space="preserve">quarter </w:t>
      </w:r>
      <w:r w:rsidR="00D85BC6" w:rsidRPr="005123FF">
        <w:rPr>
          <w:rFonts w:asciiTheme="majorBidi" w:hAnsiTheme="majorBidi" w:cstheme="majorBidi"/>
          <w:color w:val="000000" w:themeColor="text1"/>
        </w:rPr>
        <w:t xml:space="preserve">of </w:t>
      </w:r>
      <w:r w:rsidR="00353CB5" w:rsidRPr="005123FF">
        <w:rPr>
          <w:rFonts w:asciiTheme="majorBidi" w:hAnsiTheme="majorBidi" w:cstheme="majorBidi"/>
          <w:color w:val="000000" w:themeColor="text1"/>
        </w:rPr>
        <w:t xml:space="preserve">2018 </w:t>
      </w:r>
      <w:r w:rsidR="00190906" w:rsidRPr="005123FF">
        <w:rPr>
          <w:rFonts w:asciiTheme="majorBidi" w:hAnsiTheme="majorBidi" w:cstheme="majorBidi"/>
          <w:color w:val="000000" w:themeColor="text1"/>
        </w:rPr>
        <w:t>compared to</w:t>
      </w:r>
      <w:r w:rsidR="00353CB5" w:rsidRPr="005123FF">
        <w:rPr>
          <w:rFonts w:asciiTheme="majorBidi" w:hAnsiTheme="majorBidi" w:cstheme="majorBidi"/>
          <w:color w:val="000000" w:themeColor="text1"/>
        </w:rPr>
        <w:t xml:space="preserve"> $</w:t>
      </w:r>
      <w:r w:rsidR="00AD211D" w:rsidRPr="005123FF">
        <w:rPr>
          <w:rFonts w:asciiTheme="majorBidi" w:hAnsiTheme="majorBidi" w:cstheme="majorBidi"/>
          <w:color w:val="000000" w:themeColor="text1"/>
        </w:rPr>
        <w:t>536</w:t>
      </w:r>
      <w:r w:rsidR="00353CB5" w:rsidRPr="005123FF">
        <w:rPr>
          <w:rFonts w:asciiTheme="majorBidi" w:hAnsiTheme="majorBidi" w:cstheme="majorBidi"/>
          <w:color w:val="000000" w:themeColor="text1"/>
        </w:rPr>
        <w:t>,</w:t>
      </w:r>
      <w:r w:rsidR="00A67E4E" w:rsidRPr="005123FF">
        <w:rPr>
          <w:rFonts w:asciiTheme="majorBidi" w:hAnsiTheme="majorBidi" w:cstheme="majorBidi"/>
          <w:color w:val="000000" w:themeColor="text1"/>
        </w:rPr>
        <w:t>000</w:t>
      </w:r>
      <w:r w:rsidR="00B2728A" w:rsidRPr="005123FF">
        <w:rPr>
          <w:rFonts w:asciiTheme="majorBidi" w:hAnsiTheme="majorBidi" w:cstheme="majorBidi"/>
          <w:color w:val="000000" w:themeColor="text1"/>
        </w:rPr>
        <w:t xml:space="preserve"> </w:t>
      </w:r>
      <w:r w:rsidR="00353CB5" w:rsidRPr="005123FF">
        <w:rPr>
          <w:rFonts w:asciiTheme="majorBidi" w:hAnsiTheme="majorBidi" w:cstheme="majorBidi"/>
          <w:color w:val="000000" w:themeColor="text1"/>
        </w:rPr>
        <w:t xml:space="preserve">in the </w:t>
      </w:r>
      <w:r w:rsidR="00AD211D" w:rsidRPr="005123FF">
        <w:rPr>
          <w:rFonts w:asciiTheme="majorBidi" w:hAnsiTheme="majorBidi" w:cstheme="majorBidi"/>
          <w:color w:val="000000" w:themeColor="text1"/>
        </w:rPr>
        <w:t>fourth</w:t>
      </w:r>
      <w:r w:rsidR="00B2728A" w:rsidRPr="005123FF">
        <w:rPr>
          <w:rFonts w:asciiTheme="majorBidi" w:hAnsiTheme="majorBidi" w:cstheme="majorBidi"/>
          <w:color w:val="000000" w:themeColor="text1"/>
        </w:rPr>
        <w:t xml:space="preserve"> </w:t>
      </w:r>
      <w:r w:rsidR="00353CB5" w:rsidRPr="005123FF">
        <w:rPr>
          <w:rFonts w:asciiTheme="majorBidi" w:hAnsiTheme="majorBidi" w:cstheme="majorBidi"/>
          <w:color w:val="000000" w:themeColor="text1"/>
        </w:rPr>
        <w:t>quarter of 2017.</w:t>
      </w:r>
      <w:r w:rsidR="00935457" w:rsidRPr="005123FF">
        <w:rPr>
          <w:rFonts w:asciiTheme="majorBidi" w:hAnsiTheme="majorBidi" w:cstheme="majorBidi"/>
          <w:color w:val="000000" w:themeColor="text1"/>
        </w:rPr>
        <w:t xml:space="preserve"> </w:t>
      </w:r>
      <w:r w:rsidR="00190906" w:rsidRPr="00C57280">
        <w:rPr>
          <w:rFonts w:asciiTheme="majorBidi" w:hAnsiTheme="majorBidi" w:cstheme="majorBidi"/>
          <w:color w:val="000000" w:themeColor="text1"/>
        </w:rPr>
        <w:t>Acorn's</w:t>
      </w:r>
      <w:r w:rsidR="006E05D6" w:rsidRPr="00C57280">
        <w:rPr>
          <w:rFonts w:asciiTheme="majorBidi" w:hAnsiTheme="majorBidi" w:cstheme="majorBidi"/>
          <w:color w:val="000000" w:themeColor="text1"/>
        </w:rPr>
        <w:t xml:space="preserve"> 2018</w:t>
      </w:r>
      <w:r w:rsidR="00190906">
        <w:rPr>
          <w:rFonts w:asciiTheme="majorBidi" w:hAnsiTheme="majorBidi" w:cstheme="majorBidi"/>
          <w:color w:val="000000" w:themeColor="text1"/>
        </w:rPr>
        <w:t xml:space="preserve"> consolidated op</w:t>
      </w:r>
      <w:r w:rsidR="00AD211D">
        <w:rPr>
          <w:rFonts w:asciiTheme="majorBidi" w:hAnsiTheme="majorBidi" w:cstheme="majorBidi"/>
          <w:color w:val="000000" w:themeColor="text1"/>
        </w:rPr>
        <w:t>erating loss was reduced by $535,000</w:t>
      </w:r>
      <w:r w:rsidR="006E05D6">
        <w:rPr>
          <w:rFonts w:asciiTheme="majorBidi" w:hAnsiTheme="majorBidi" w:cstheme="majorBidi"/>
          <w:color w:val="000000" w:themeColor="text1"/>
        </w:rPr>
        <w:t xml:space="preserve"> or </w:t>
      </w:r>
      <w:r w:rsidR="00BD29B7">
        <w:rPr>
          <w:rFonts w:asciiTheme="majorBidi" w:hAnsiTheme="majorBidi" w:cstheme="majorBidi"/>
          <w:color w:val="000000" w:themeColor="text1"/>
        </w:rPr>
        <w:t>28%</w:t>
      </w:r>
      <w:r w:rsidR="00AD211D">
        <w:rPr>
          <w:rFonts w:asciiTheme="majorBidi" w:hAnsiTheme="majorBidi" w:cstheme="majorBidi"/>
          <w:color w:val="000000" w:themeColor="text1"/>
        </w:rPr>
        <w:t xml:space="preserve"> to $1,376</w:t>
      </w:r>
      <w:r w:rsidR="00190906">
        <w:rPr>
          <w:rFonts w:asciiTheme="majorBidi" w:hAnsiTheme="majorBidi" w:cstheme="majorBidi"/>
          <w:color w:val="000000" w:themeColor="text1"/>
        </w:rPr>
        <w:t xml:space="preserve">,000 </w:t>
      </w:r>
      <w:r w:rsidR="00935457">
        <w:rPr>
          <w:rFonts w:asciiTheme="majorBidi" w:hAnsiTheme="majorBidi" w:cstheme="majorBidi"/>
          <w:color w:val="000000" w:themeColor="text1"/>
        </w:rPr>
        <w:t xml:space="preserve">in 2018 </w:t>
      </w:r>
      <w:r w:rsidR="00D85BC6">
        <w:rPr>
          <w:rFonts w:asciiTheme="majorBidi" w:hAnsiTheme="majorBidi" w:cstheme="majorBidi"/>
          <w:color w:val="000000" w:themeColor="text1"/>
        </w:rPr>
        <w:t>compared to</w:t>
      </w:r>
      <w:r w:rsidR="00AD211D">
        <w:rPr>
          <w:rFonts w:asciiTheme="majorBidi" w:hAnsiTheme="majorBidi" w:cstheme="majorBidi"/>
          <w:color w:val="000000" w:themeColor="text1"/>
        </w:rPr>
        <w:t xml:space="preserve"> $1,911,000 in</w:t>
      </w:r>
      <w:r w:rsidR="00190906">
        <w:rPr>
          <w:rFonts w:asciiTheme="majorBidi" w:hAnsiTheme="majorBidi" w:cstheme="majorBidi"/>
          <w:color w:val="000000" w:themeColor="text1"/>
        </w:rPr>
        <w:t xml:space="preserve"> 2017. </w:t>
      </w:r>
    </w:p>
    <w:p w14:paraId="4D472752" w14:textId="77777777" w:rsidR="00FF085D" w:rsidRDefault="00FF085D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3DBC6242" w14:textId="77777777" w:rsidR="00FF085D" w:rsidRDefault="00A064EF" w:rsidP="00353CB5">
      <w:pPr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Net loss attributable to Acorn shareholders </w:t>
      </w:r>
      <w:r w:rsidR="006E05D6" w:rsidRPr="00C57280">
        <w:rPr>
          <w:rFonts w:asciiTheme="majorBidi" w:hAnsiTheme="majorBidi" w:cstheme="majorBidi"/>
          <w:color w:val="000000" w:themeColor="text1"/>
        </w:rPr>
        <w:t xml:space="preserve">improved to </w:t>
      </w:r>
      <w:r w:rsidRPr="00A84A59">
        <w:rPr>
          <w:rFonts w:asciiTheme="majorBidi" w:hAnsiTheme="majorBidi" w:cstheme="majorBidi"/>
          <w:color w:val="000000" w:themeColor="text1"/>
        </w:rPr>
        <w:t>$245,000</w:t>
      </w:r>
      <w:r w:rsidR="006E05D6" w:rsidRPr="00A84A59">
        <w:rPr>
          <w:rFonts w:asciiTheme="majorBidi" w:hAnsiTheme="majorBidi" w:cstheme="majorBidi"/>
          <w:color w:val="000000" w:themeColor="text1"/>
        </w:rPr>
        <w:t>,</w:t>
      </w:r>
      <w:r w:rsidRPr="00A84A59">
        <w:rPr>
          <w:rFonts w:asciiTheme="majorBidi" w:hAnsiTheme="majorBidi" w:cstheme="majorBidi"/>
          <w:color w:val="000000" w:themeColor="text1"/>
        </w:rPr>
        <w:t xml:space="preserve"> or $0.01</w:t>
      </w:r>
      <w:r w:rsidRPr="00C57280">
        <w:rPr>
          <w:rFonts w:asciiTheme="majorBidi" w:hAnsiTheme="majorBidi" w:cstheme="majorBidi"/>
          <w:color w:val="000000" w:themeColor="text1"/>
        </w:rPr>
        <w:t xml:space="preserve"> per</w:t>
      </w:r>
      <w:r>
        <w:rPr>
          <w:rFonts w:asciiTheme="majorBidi" w:hAnsiTheme="majorBidi" w:cstheme="majorBidi"/>
          <w:color w:val="000000" w:themeColor="text1"/>
        </w:rPr>
        <w:t xml:space="preserve"> share</w:t>
      </w:r>
      <w:r w:rsidR="006E05D6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in the fourth quarter of 2018 compared to $694,000</w:t>
      </w:r>
      <w:r w:rsidR="006E05D6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or $0.02 per share</w:t>
      </w:r>
      <w:r w:rsidR="006E05D6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in the fourth quarter of 2017.</w:t>
      </w:r>
      <w:r w:rsidR="004E47A5">
        <w:rPr>
          <w:rFonts w:asciiTheme="majorBidi" w:hAnsiTheme="majorBidi" w:cstheme="majorBidi"/>
          <w:color w:val="000000" w:themeColor="text1"/>
        </w:rPr>
        <w:t xml:space="preserve">  </w:t>
      </w:r>
    </w:p>
    <w:p w14:paraId="7F126646" w14:textId="77777777" w:rsidR="006E05D6" w:rsidRDefault="006E05D6">
      <w:pPr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FEA85A2" w14:textId="77777777" w:rsidR="00D061E0" w:rsidRPr="00525A94" w:rsidRDefault="00CD6BF3">
      <w:pPr>
        <w:spacing w:line="276" w:lineRule="auto"/>
        <w:rPr>
          <w:rFonts w:asciiTheme="majorBidi" w:hAnsiTheme="majorBidi" w:cs="Times New Roman (Headings CS)"/>
          <w:color w:val="000000" w:themeColor="text1"/>
        </w:rPr>
      </w:pPr>
      <w:r>
        <w:rPr>
          <w:rFonts w:asciiTheme="majorBidi" w:hAnsiTheme="majorBidi" w:cs="Times New Roman (Headings CS)"/>
          <w:color w:val="000000" w:themeColor="text1"/>
        </w:rPr>
        <w:t>Including</w:t>
      </w:r>
      <w:r w:rsidR="006E05D6">
        <w:rPr>
          <w:rFonts w:asciiTheme="majorBidi" w:hAnsiTheme="majorBidi" w:cs="Times New Roman (Headings CS)"/>
          <w:color w:val="000000" w:themeColor="text1"/>
        </w:rPr>
        <w:t xml:space="preserve"> a</w:t>
      </w:r>
      <w:r w:rsidR="006E05D6" w:rsidRPr="000F3D98">
        <w:rPr>
          <w:rFonts w:asciiTheme="majorBidi" w:hAnsiTheme="majorBidi" w:cs="Times New Roman (Headings CS)"/>
          <w:color w:val="000000" w:themeColor="text1"/>
        </w:rPr>
        <w:t xml:space="preserve"> charge of $607,000, or $0.02 per share, related to the disposition of DSIT</w:t>
      </w:r>
      <w:r w:rsidR="006E05D6">
        <w:rPr>
          <w:rFonts w:asciiTheme="majorBidi" w:hAnsiTheme="majorBidi" w:cs="Times New Roman (Headings CS)"/>
          <w:color w:val="000000" w:themeColor="text1"/>
        </w:rPr>
        <w:t xml:space="preserve">, </w:t>
      </w:r>
      <w:r w:rsidR="00E5137C" w:rsidRPr="000F3D98">
        <w:rPr>
          <w:rFonts w:asciiTheme="majorBidi" w:hAnsiTheme="majorBidi" w:cs="Times New Roman (Headings CS)"/>
          <w:color w:val="000000" w:themeColor="text1"/>
        </w:rPr>
        <w:t xml:space="preserve">Acorn </w:t>
      </w:r>
      <w:r w:rsidR="006B7F01" w:rsidRPr="000F3D98">
        <w:rPr>
          <w:rFonts w:asciiTheme="majorBidi" w:hAnsiTheme="majorBidi" w:cs="Times New Roman (Headings CS)"/>
          <w:color w:val="000000" w:themeColor="text1"/>
        </w:rPr>
        <w:t xml:space="preserve">reported </w:t>
      </w:r>
      <w:r w:rsidR="00BF41B0" w:rsidRPr="000F3D98">
        <w:rPr>
          <w:rFonts w:asciiTheme="majorBidi" w:hAnsiTheme="majorBidi" w:cs="Times New Roman (Headings CS)"/>
          <w:color w:val="000000" w:themeColor="text1"/>
        </w:rPr>
        <w:t>a</w:t>
      </w:r>
      <w:r w:rsidR="005375EC" w:rsidRPr="000F3D98">
        <w:rPr>
          <w:rFonts w:asciiTheme="majorBidi" w:hAnsiTheme="majorBidi" w:cs="Times New Roman (Headings CS)"/>
          <w:color w:val="000000" w:themeColor="text1"/>
        </w:rPr>
        <w:t xml:space="preserve"> </w:t>
      </w:r>
      <w:r w:rsidR="006E05D6">
        <w:rPr>
          <w:rFonts w:asciiTheme="majorBidi" w:hAnsiTheme="majorBidi" w:cs="Times New Roman (Headings CS)"/>
          <w:color w:val="000000" w:themeColor="text1"/>
        </w:rPr>
        <w:t>2</w:t>
      </w:r>
      <w:r w:rsidR="00553CAE">
        <w:rPr>
          <w:rFonts w:asciiTheme="majorBidi" w:hAnsiTheme="majorBidi" w:cs="Times New Roman (Headings CS)"/>
          <w:color w:val="000000" w:themeColor="text1"/>
        </w:rPr>
        <w:t>018 n</w:t>
      </w:r>
      <w:r w:rsidR="006E05D6" w:rsidRPr="000F3D98">
        <w:rPr>
          <w:rFonts w:asciiTheme="majorBidi" w:hAnsiTheme="majorBidi" w:cs="Times New Roman (Headings CS)"/>
          <w:color w:val="000000" w:themeColor="text1"/>
        </w:rPr>
        <w:t xml:space="preserve">et </w:t>
      </w:r>
      <w:r w:rsidR="00E5137C" w:rsidRPr="000F3D98">
        <w:rPr>
          <w:rFonts w:asciiTheme="majorBidi" w:hAnsiTheme="majorBidi" w:cs="Times New Roman (Headings CS)"/>
          <w:color w:val="000000" w:themeColor="text1"/>
        </w:rPr>
        <w:t>loss attributable to shareholders of $</w:t>
      </w:r>
      <w:r w:rsidR="00A064EF">
        <w:rPr>
          <w:rFonts w:asciiTheme="majorBidi" w:hAnsiTheme="majorBidi" w:cs="Times New Roman (Headings CS)"/>
          <w:color w:val="000000" w:themeColor="text1"/>
        </w:rPr>
        <w:t>2,001</w:t>
      </w:r>
      <w:r w:rsidR="00E5137C" w:rsidRPr="000F3D98">
        <w:rPr>
          <w:rFonts w:asciiTheme="majorBidi" w:hAnsiTheme="majorBidi" w:cs="Times New Roman (Headings CS)"/>
          <w:color w:val="000000" w:themeColor="text1"/>
        </w:rPr>
        <w:t>,000, or $0.0</w:t>
      </w:r>
      <w:r w:rsidR="00A064EF">
        <w:rPr>
          <w:rFonts w:asciiTheme="majorBidi" w:hAnsiTheme="majorBidi" w:cs="Times New Roman (Headings CS)"/>
          <w:color w:val="000000" w:themeColor="text1"/>
        </w:rPr>
        <w:t>7</w:t>
      </w:r>
      <w:r w:rsidR="00E5137C" w:rsidRPr="000F3D98">
        <w:rPr>
          <w:rFonts w:asciiTheme="majorBidi" w:hAnsiTheme="majorBidi" w:cs="Times New Roman (Headings CS)"/>
          <w:color w:val="000000" w:themeColor="text1"/>
        </w:rPr>
        <w:t xml:space="preserve"> per share</w:t>
      </w:r>
      <w:r w:rsidR="00553CAE">
        <w:rPr>
          <w:rFonts w:asciiTheme="majorBidi" w:hAnsiTheme="majorBidi" w:cs="Times New Roman (Headings CS)"/>
          <w:color w:val="000000" w:themeColor="text1"/>
        </w:rPr>
        <w:t>. Reflecting the benefit of income from</w:t>
      </w:r>
      <w:r w:rsidR="00553CAE" w:rsidRPr="000F3D98">
        <w:rPr>
          <w:rFonts w:asciiTheme="majorBidi" w:hAnsiTheme="majorBidi" w:cs="Times New Roman (Headings CS)"/>
          <w:color w:val="000000" w:themeColor="text1"/>
        </w:rPr>
        <w:t xml:space="preserve"> discontinued operations of $698,000, or $</w:t>
      </w:r>
      <w:r w:rsidR="00553CAE">
        <w:rPr>
          <w:rFonts w:asciiTheme="majorBidi" w:hAnsiTheme="majorBidi" w:cs="Times New Roman (Headings CS)"/>
          <w:color w:val="000000" w:themeColor="text1"/>
        </w:rPr>
        <w:t>0</w:t>
      </w:r>
      <w:r w:rsidR="00553CAE" w:rsidRPr="000F3D98">
        <w:rPr>
          <w:rFonts w:asciiTheme="majorBidi" w:hAnsiTheme="majorBidi" w:cs="Times New Roman (Headings CS)"/>
          <w:color w:val="000000" w:themeColor="text1"/>
        </w:rPr>
        <w:t>.0</w:t>
      </w:r>
      <w:r w:rsidR="00553CAE">
        <w:rPr>
          <w:rFonts w:asciiTheme="majorBidi" w:hAnsiTheme="majorBidi" w:cs="Times New Roman (Headings CS)"/>
          <w:color w:val="000000" w:themeColor="text1"/>
        </w:rPr>
        <w:t>2</w:t>
      </w:r>
      <w:r w:rsidR="00553CAE" w:rsidRPr="000F3D98">
        <w:rPr>
          <w:rFonts w:asciiTheme="majorBidi" w:hAnsiTheme="majorBidi" w:cs="Times New Roman (Headings CS)"/>
          <w:color w:val="000000" w:themeColor="text1"/>
        </w:rPr>
        <w:t xml:space="preserve"> per share</w:t>
      </w:r>
      <w:r w:rsidR="00553CAE">
        <w:rPr>
          <w:rFonts w:asciiTheme="majorBidi" w:hAnsiTheme="majorBidi" w:cs="Times New Roman (Headings CS)"/>
          <w:color w:val="000000" w:themeColor="text1"/>
        </w:rPr>
        <w:t xml:space="preserve">, Acorn’s 2017 </w:t>
      </w:r>
      <w:r w:rsidR="00E5137C" w:rsidRPr="000F3D98">
        <w:rPr>
          <w:rFonts w:asciiTheme="majorBidi" w:hAnsiTheme="majorBidi" w:cs="Times New Roman (Headings CS)"/>
          <w:color w:val="000000" w:themeColor="text1"/>
        </w:rPr>
        <w:t xml:space="preserve">net </w:t>
      </w:r>
      <w:r w:rsidR="00204DA0" w:rsidRPr="000F3D98">
        <w:rPr>
          <w:rFonts w:asciiTheme="majorBidi" w:hAnsiTheme="majorBidi" w:cs="Times New Roman (Headings CS)"/>
          <w:color w:val="000000" w:themeColor="text1"/>
        </w:rPr>
        <w:t xml:space="preserve">loss </w:t>
      </w:r>
      <w:r w:rsidR="00BF41B0" w:rsidRPr="000F3D98">
        <w:rPr>
          <w:rFonts w:asciiTheme="majorBidi" w:hAnsiTheme="majorBidi" w:cs="Times New Roman (Headings CS)"/>
          <w:color w:val="000000" w:themeColor="text1"/>
        </w:rPr>
        <w:t xml:space="preserve">attributable to shareholders </w:t>
      </w:r>
      <w:r w:rsidR="00553CAE">
        <w:rPr>
          <w:rFonts w:asciiTheme="majorBidi" w:hAnsiTheme="majorBidi" w:cs="Times New Roman (Headings CS)"/>
          <w:color w:val="000000" w:themeColor="text1"/>
        </w:rPr>
        <w:t>was</w:t>
      </w:r>
      <w:r w:rsidR="00553CAE" w:rsidRPr="000F3D98">
        <w:rPr>
          <w:rFonts w:asciiTheme="majorBidi" w:hAnsiTheme="majorBidi" w:cs="Times New Roman (Headings CS)"/>
          <w:color w:val="000000" w:themeColor="text1"/>
        </w:rPr>
        <w:t xml:space="preserve"> </w:t>
      </w:r>
      <w:r w:rsidR="00204DA0" w:rsidRPr="000F3D98">
        <w:rPr>
          <w:rFonts w:asciiTheme="majorBidi" w:hAnsiTheme="majorBidi" w:cs="Times New Roman (Headings CS)"/>
          <w:color w:val="000000" w:themeColor="text1"/>
        </w:rPr>
        <w:t>$</w:t>
      </w:r>
      <w:r w:rsidR="00A064EF">
        <w:rPr>
          <w:rFonts w:asciiTheme="majorBidi" w:hAnsiTheme="majorBidi" w:cs="Times New Roman (Headings CS)"/>
          <w:color w:val="000000" w:themeColor="text1"/>
        </w:rPr>
        <w:t>1,169,000, or $0.04</w:t>
      </w:r>
      <w:r w:rsidR="00E5137C" w:rsidRPr="000F3D98">
        <w:rPr>
          <w:rFonts w:asciiTheme="majorBidi" w:hAnsiTheme="majorBidi" w:cs="Times New Roman (Headings CS)"/>
          <w:color w:val="000000" w:themeColor="text1"/>
        </w:rPr>
        <w:t xml:space="preserve"> per</w:t>
      </w:r>
      <w:r w:rsidR="001A0AEB" w:rsidRPr="000F3D98">
        <w:rPr>
          <w:rFonts w:asciiTheme="majorBidi" w:hAnsiTheme="majorBidi" w:cs="Times New Roman (Headings CS)"/>
          <w:color w:val="000000" w:themeColor="text1"/>
        </w:rPr>
        <w:t xml:space="preserve"> sh</w:t>
      </w:r>
      <w:r w:rsidR="00A064EF">
        <w:rPr>
          <w:rFonts w:asciiTheme="majorBidi" w:hAnsiTheme="majorBidi" w:cs="Times New Roman (Headings CS)"/>
          <w:color w:val="000000" w:themeColor="text1"/>
        </w:rPr>
        <w:t>are</w:t>
      </w:r>
      <w:r w:rsidR="00553CAE">
        <w:rPr>
          <w:rFonts w:asciiTheme="majorBidi" w:hAnsiTheme="majorBidi" w:cs="Times New Roman (Headings CS)"/>
          <w:color w:val="000000" w:themeColor="text1"/>
        </w:rPr>
        <w:t>.</w:t>
      </w:r>
    </w:p>
    <w:p w14:paraId="6315A1F1" w14:textId="77777777" w:rsidR="00F27B7F" w:rsidRPr="006818EA" w:rsidRDefault="00F27B7F" w:rsidP="00D061E0">
      <w:pPr>
        <w:spacing w:line="276" w:lineRule="auto"/>
        <w:rPr>
          <w:rFonts w:asciiTheme="majorBidi" w:hAnsiTheme="majorBidi" w:cs="Times New Roman (Headings CS)"/>
          <w:color w:val="000000" w:themeColor="text1"/>
        </w:rPr>
      </w:pPr>
    </w:p>
    <w:p w14:paraId="4FF291C3" w14:textId="77777777" w:rsidR="00D061E0" w:rsidRPr="009B2512" w:rsidRDefault="00D061E0" w:rsidP="00D061E0">
      <w:pPr>
        <w:spacing w:line="276" w:lineRule="auto"/>
        <w:rPr>
          <w:rFonts w:asciiTheme="majorBidi" w:hAnsiTheme="majorBidi" w:cstheme="majorBidi"/>
          <w:b/>
          <w:color w:val="000000" w:themeColor="text1"/>
        </w:rPr>
      </w:pPr>
      <w:r w:rsidRPr="009B2512">
        <w:rPr>
          <w:rFonts w:asciiTheme="majorBidi" w:hAnsiTheme="majorBidi" w:cstheme="majorBidi"/>
          <w:b/>
          <w:color w:val="000000" w:themeColor="text1"/>
        </w:rPr>
        <w:t>Liquidity and Capital Resources</w:t>
      </w:r>
    </w:p>
    <w:p w14:paraId="27CEBF4E" w14:textId="77777777" w:rsidR="000D54FE" w:rsidRDefault="0060479E" w:rsidP="000D54FE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 of Dec</w:t>
      </w:r>
      <w:r w:rsidR="006143F6">
        <w:rPr>
          <w:rFonts w:asciiTheme="majorBidi" w:hAnsiTheme="majorBidi" w:cstheme="majorBidi"/>
        </w:rPr>
        <w:t>ember 31</w:t>
      </w:r>
      <w:r w:rsidR="000D54FE" w:rsidRPr="00CF2F88">
        <w:rPr>
          <w:rFonts w:asciiTheme="majorBidi" w:hAnsiTheme="majorBidi" w:cstheme="majorBidi"/>
        </w:rPr>
        <w:t xml:space="preserve">, 2018, Acorn had </w:t>
      </w:r>
      <w:r w:rsidR="00526A01">
        <w:rPr>
          <w:rFonts w:asciiTheme="majorBidi" w:hAnsiTheme="majorBidi" w:cstheme="majorBidi"/>
        </w:rPr>
        <w:t xml:space="preserve">consolidated </w:t>
      </w:r>
      <w:r w:rsidR="00372E2E">
        <w:rPr>
          <w:rFonts w:asciiTheme="majorBidi" w:hAnsiTheme="majorBidi" w:cstheme="majorBidi"/>
        </w:rPr>
        <w:t>cash and cash equivalents of $</w:t>
      </w:r>
      <w:r w:rsidR="00EB030D">
        <w:rPr>
          <w:rFonts w:asciiTheme="majorBidi" w:hAnsiTheme="majorBidi" w:cstheme="majorBidi"/>
        </w:rPr>
        <w:t>97</w:t>
      </w:r>
      <w:r w:rsidR="00372E2E">
        <w:rPr>
          <w:rFonts w:asciiTheme="majorBidi" w:hAnsiTheme="majorBidi" w:cstheme="majorBidi"/>
        </w:rPr>
        <w:t xml:space="preserve">3,000, </w:t>
      </w:r>
      <w:r w:rsidR="00EB030D">
        <w:rPr>
          <w:rFonts w:asciiTheme="majorBidi" w:hAnsiTheme="majorBidi" w:cstheme="majorBidi"/>
        </w:rPr>
        <w:t>ex</w:t>
      </w:r>
      <w:r w:rsidR="00372E2E">
        <w:rPr>
          <w:rFonts w:asciiTheme="majorBidi" w:hAnsiTheme="majorBidi" w:cstheme="majorBidi"/>
        </w:rPr>
        <w:t>cluding $290</w:t>
      </w:r>
      <w:r w:rsidR="000D54FE" w:rsidRPr="00CF2F88">
        <w:rPr>
          <w:rFonts w:asciiTheme="majorBidi" w:hAnsiTheme="majorBidi" w:cstheme="majorBidi"/>
        </w:rPr>
        <w:t>,000 of restrict</w:t>
      </w:r>
      <w:r w:rsidR="00F1515E">
        <w:rPr>
          <w:rFonts w:asciiTheme="majorBidi" w:hAnsiTheme="majorBidi" w:cstheme="majorBidi"/>
        </w:rPr>
        <w:t>ed cash</w:t>
      </w:r>
      <w:r w:rsidR="00EB030D">
        <w:rPr>
          <w:rFonts w:asciiTheme="majorBidi" w:hAnsiTheme="majorBidi" w:cstheme="majorBidi"/>
        </w:rPr>
        <w:t xml:space="preserve"> </w:t>
      </w:r>
      <w:r w:rsidR="009771CC">
        <w:rPr>
          <w:rFonts w:asciiTheme="majorBidi" w:hAnsiTheme="majorBidi" w:cstheme="majorBidi"/>
        </w:rPr>
        <w:t>held at a bank in Isra</w:t>
      </w:r>
      <w:r w:rsidR="005D2FFC">
        <w:rPr>
          <w:rFonts w:asciiTheme="majorBidi" w:hAnsiTheme="majorBidi" w:cstheme="majorBidi"/>
        </w:rPr>
        <w:t>e</w:t>
      </w:r>
      <w:r w:rsidR="009771CC">
        <w:rPr>
          <w:rFonts w:asciiTheme="majorBidi" w:hAnsiTheme="majorBidi" w:cstheme="majorBidi"/>
        </w:rPr>
        <w:t xml:space="preserve">l. </w:t>
      </w:r>
      <w:r w:rsidR="00380056">
        <w:rPr>
          <w:rFonts w:asciiTheme="majorBidi" w:hAnsiTheme="majorBidi" w:cstheme="majorBidi"/>
        </w:rPr>
        <w:t>OmniMetrix</w:t>
      </w:r>
      <w:r w:rsidR="003B7E5D">
        <w:rPr>
          <w:rFonts w:asciiTheme="majorBidi" w:hAnsiTheme="majorBidi" w:cstheme="majorBidi"/>
        </w:rPr>
        <w:t xml:space="preserve"> </w:t>
      </w:r>
      <w:r w:rsidR="005123FF">
        <w:rPr>
          <w:rFonts w:asciiTheme="majorBidi" w:hAnsiTheme="majorBidi" w:cstheme="majorBidi"/>
        </w:rPr>
        <w:t xml:space="preserve">did not have any </w:t>
      </w:r>
      <w:r w:rsidR="005123FF">
        <w:rPr>
          <w:rFonts w:asciiTheme="majorBidi" w:hAnsiTheme="majorBidi" w:cstheme="majorBidi"/>
        </w:rPr>
        <w:lastRenderedPageBreak/>
        <w:t xml:space="preserve">balance outstanding on its </w:t>
      </w:r>
      <w:r w:rsidR="00A84A59">
        <w:rPr>
          <w:rFonts w:asciiTheme="majorBidi" w:hAnsiTheme="majorBidi" w:cstheme="majorBidi"/>
        </w:rPr>
        <w:t xml:space="preserve">accounts receivable </w:t>
      </w:r>
      <w:r w:rsidR="005123FF">
        <w:rPr>
          <w:rFonts w:asciiTheme="majorBidi" w:hAnsiTheme="majorBidi" w:cstheme="majorBidi"/>
        </w:rPr>
        <w:t>credit line</w:t>
      </w:r>
      <w:r w:rsidR="00A84A59">
        <w:rPr>
          <w:rFonts w:asciiTheme="majorBidi" w:hAnsiTheme="majorBidi" w:cstheme="majorBidi"/>
        </w:rPr>
        <w:t>. M</w:t>
      </w:r>
      <w:r w:rsidR="000D54FE" w:rsidRPr="00CF2F88">
        <w:rPr>
          <w:rFonts w:asciiTheme="majorBidi" w:hAnsiTheme="majorBidi" w:cstheme="majorBidi"/>
        </w:rPr>
        <w:t>ana</w:t>
      </w:r>
      <w:r w:rsidR="00372E2E">
        <w:rPr>
          <w:rFonts w:asciiTheme="majorBidi" w:hAnsiTheme="majorBidi" w:cstheme="majorBidi"/>
        </w:rPr>
        <w:t>gement</w:t>
      </w:r>
      <w:r w:rsidR="008E5EB0">
        <w:rPr>
          <w:rFonts w:asciiTheme="majorBidi" w:hAnsiTheme="majorBidi" w:cstheme="majorBidi"/>
        </w:rPr>
        <w:t xml:space="preserve"> elected </w:t>
      </w:r>
      <w:r w:rsidR="00BB20B7">
        <w:rPr>
          <w:rFonts w:asciiTheme="majorBidi" w:hAnsiTheme="majorBidi" w:cstheme="majorBidi"/>
        </w:rPr>
        <w:t>to allow</w:t>
      </w:r>
      <w:r w:rsidR="005123FF">
        <w:rPr>
          <w:rFonts w:asciiTheme="majorBidi" w:hAnsiTheme="majorBidi" w:cstheme="majorBidi"/>
        </w:rPr>
        <w:t xml:space="preserve"> </w:t>
      </w:r>
      <w:r w:rsidR="00526A01">
        <w:rPr>
          <w:rFonts w:asciiTheme="majorBidi" w:hAnsiTheme="majorBidi" w:cstheme="majorBidi"/>
        </w:rPr>
        <w:t>its</w:t>
      </w:r>
      <w:r w:rsidR="009F1AB5">
        <w:rPr>
          <w:rFonts w:asciiTheme="majorBidi" w:hAnsiTheme="majorBidi" w:cstheme="majorBidi"/>
        </w:rPr>
        <w:t xml:space="preserve"> A/R</w:t>
      </w:r>
      <w:r w:rsidR="005123FF">
        <w:rPr>
          <w:rFonts w:asciiTheme="majorBidi" w:hAnsiTheme="majorBidi" w:cstheme="majorBidi"/>
        </w:rPr>
        <w:t xml:space="preserve"> credit line to expire in accordance with its terms in October 2018 and repaid the amount outstanding.</w:t>
      </w:r>
      <w:r w:rsidR="000D54FE" w:rsidRPr="00CF2F88">
        <w:rPr>
          <w:rFonts w:asciiTheme="majorBidi" w:hAnsiTheme="majorBidi" w:cstheme="majorBidi"/>
        </w:rPr>
        <w:t xml:space="preserve"> </w:t>
      </w:r>
    </w:p>
    <w:p w14:paraId="418DE888" w14:textId="77777777" w:rsidR="00372E2E" w:rsidRDefault="00372E2E" w:rsidP="000D54FE">
      <w:pPr>
        <w:spacing w:line="276" w:lineRule="auto"/>
        <w:rPr>
          <w:rFonts w:asciiTheme="majorBidi" w:hAnsiTheme="majorBidi" w:cstheme="majorBidi"/>
        </w:rPr>
      </w:pPr>
    </w:p>
    <w:p w14:paraId="7C1E7109" w14:textId="77777777" w:rsidR="00490598" w:rsidRDefault="00372E2E" w:rsidP="000D54FE">
      <w:pPr>
        <w:spacing w:line="276" w:lineRule="auto"/>
        <w:rPr>
          <w:rFonts w:asciiTheme="majorBidi" w:hAnsiTheme="majorBidi" w:cstheme="majorBidi"/>
        </w:rPr>
      </w:pPr>
      <w:r w:rsidRPr="00372E2E">
        <w:rPr>
          <w:rFonts w:asciiTheme="majorBidi" w:hAnsiTheme="majorBidi" w:cstheme="majorBidi"/>
        </w:rPr>
        <w:t xml:space="preserve">In March 2019, OmniMetrix </w:t>
      </w:r>
      <w:r w:rsidR="00BB20B7">
        <w:rPr>
          <w:rFonts w:asciiTheme="majorBidi" w:hAnsiTheme="majorBidi" w:cstheme="majorBidi"/>
        </w:rPr>
        <w:t xml:space="preserve">negotiated a new </w:t>
      </w:r>
      <w:r w:rsidR="005123FF" w:rsidRPr="005123FF">
        <w:rPr>
          <w:rFonts w:asciiTheme="majorBidi" w:hAnsiTheme="majorBidi" w:cstheme="majorBidi"/>
        </w:rPr>
        <w:t xml:space="preserve">A/R credit line </w:t>
      </w:r>
      <w:r w:rsidR="005B593C">
        <w:rPr>
          <w:rFonts w:asciiTheme="majorBidi" w:hAnsiTheme="majorBidi" w:cstheme="majorBidi"/>
        </w:rPr>
        <w:t xml:space="preserve">at better rates </w:t>
      </w:r>
      <w:r w:rsidR="005123FF" w:rsidRPr="005123FF">
        <w:rPr>
          <w:rFonts w:asciiTheme="majorBidi" w:hAnsiTheme="majorBidi" w:cstheme="majorBidi"/>
        </w:rPr>
        <w:t xml:space="preserve">with </w:t>
      </w:r>
      <w:r w:rsidR="0088707A">
        <w:rPr>
          <w:rFonts w:asciiTheme="majorBidi" w:hAnsiTheme="majorBidi" w:cstheme="majorBidi"/>
        </w:rPr>
        <w:t>the same</w:t>
      </w:r>
      <w:r w:rsidR="005123FF" w:rsidRPr="005123FF">
        <w:rPr>
          <w:rFonts w:asciiTheme="majorBidi" w:hAnsiTheme="majorBidi" w:cstheme="majorBidi"/>
        </w:rPr>
        <w:t xml:space="preserve"> lending partner</w:t>
      </w:r>
      <w:r w:rsidR="006B01BD">
        <w:rPr>
          <w:rFonts w:asciiTheme="majorBidi" w:hAnsiTheme="majorBidi" w:cstheme="majorBidi"/>
        </w:rPr>
        <w:t>,</w:t>
      </w:r>
      <w:r w:rsidR="005123FF" w:rsidRPr="005123FF">
        <w:rPr>
          <w:rFonts w:asciiTheme="majorBidi" w:hAnsiTheme="majorBidi" w:cstheme="majorBidi"/>
        </w:rPr>
        <w:t xml:space="preserve"> </w:t>
      </w:r>
      <w:r w:rsidRPr="005123FF">
        <w:rPr>
          <w:rFonts w:asciiTheme="majorBidi" w:hAnsiTheme="majorBidi" w:cstheme="majorBidi"/>
        </w:rPr>
        <w:t>which provides the company with access to accounts receivable formula-based financing</w:t>
      </w:r>
      <w:r w:rsidR="00360862" w:rsidRPr="005123FF">
        <w:rPr>
          <w:rFonts w:asciiTheme="majorBidi" w:hAnsiTheme="majorBidi" w:cstheme="majorBidi"/>
        </w:rPr>
        <w:t xml:space="preserve"> of</w:t>
      </w:r>
      <w:r w:rsidRPr="005123FF">
        <w:rPr>
          <w:rFonts w:asciiTheme="majorBidi" w:hAnsiTheme="majorBidi" w:cstheme="majorBidi"/>
        </w:rPr>
        <w:t xml:space="preserve"> the lesser of 75% of eligible receivables or $1 million. </w:t>
      </w:r>
    </w:p>
    <w:p w14:paraId="36E358FC" w14:textId="77777777" w:rsidR="00490598" w:rsidRDefault="00490598" w:rsidP="000D54FE">
      <w:pPr>
        <w:spacing w:line="276" w:lineRule="auto"/>
        <w:rPr>
          <w:rFonts w:asciiTheme="majorBidi" w:hAnsiTheme="majorBidi" w:cstheme="majorBidi"/>
        </w:rPr>
      </w:pPr>
    </w:p>
    <w:p w14:paraId="4AD998FB" w14:textId="77777777" w:rsidR="00372E2E" w:rsidRDefault="002A25EB" w:rsidP="000D54FE">
      <w:pPr>
        <w:spacing w:line="276" w:lineRule="auto"/>
        <w:rPr>
          <w:rFonts w:asciiTheme="majorBidi" w:hAnsiTheme="majorBidi" w:cstheme="majorBidi"/>
        </w:rPr>
      </w:pPr>
      <w:r w:rsidRPr="005123FF">
        <w:rPr>
          <w:rFonts w:asciiTheme="majorBidi" w:hAnsiTheme="majorBidi" w:cstheme="majorBidi"/>
        </w:rPr>
        <w:t xml:space="preserve">As of March </w:t>
      </w:r>
      <w:r w:rsidR="005123FF" w:rsidRPr="00A84A59">
        <w:rPr>
          <w:rFonts w:asciiTheme="majorBidi" w:hAnsiTheme="majorBidi" w:cstheme="majorBidi"/>
        </w:rPr>
        <w:t>22,</w:t>
      </w:r>
      <w:r w:rsidRPr="00A84A59">
        <w:rPr>
          <w:rFonts w:asciiTheme="majorBidi" w:hAnsiTheme="majorBidi" w:cstheme="majorBidi"/>
        </w:rPr>
        <w:t xml:space="preserve"> </w:t>
      </w:r>
      <w:r w:rsidR="003019A9">
        <w:rPr>
          <w:rFonts w:asciiTheme="majorBidi" w:hAnsiTheme="majorBidi" w:cstheme="majorBidi"/>
        </w:rPr>
        <w:t xml:space="preserve">2019, </w:t>
      </w:r>
      <w:r w:rsidR="00A51F7B" w:rsidRPr="00F17A69">
        <w:rPr>
          <w:rFonts w:asciiTheme="majorBidi" w:hAnsiTheme="majorBidi" w:cstheme="majorBidi"/>
        </w:rPr>
        <w:t>Acorn had consolidated cash and cash equivalents of $</w:t>
      </w:r>
      <w:r w:rsidR="00587527" w:rsidRPr="00F17A69">
        <w:rPr>
          <w:rFonts w:asciiTheme="majorBidi" w:hAnsiTheme="majorBidi" w:cstheme="majorBidi"/>
        </w:rPr>
        <w:t>814</w:t>
      </w:r>
      <w:r w:rsidR="00A51F7B" w:rsidRPr="00F17A69">
        <w:rPr>
          <w:rFonts w:asciiTheme="majorBidi" w:hAnsiTheme="majorBidi" w:cstheme="majorBidi"/>
        </w:rPr>
        <w:t xml:space="preserve">,000, </w:t>
      </w:r>
      <w:r w:rsidR="00587527" w:rsidRPr="00F17A69">
        <w:rPr>
          <w:rFonts w:asciiTheme="majorBidi" w:hAnsiTheme="majorBidi" w:cstheme="majorBidi"/>
        </w:rPr>
        <w:t>ex</w:t>
      </w:r>
      <w:r w:rsidR="00A51F7B" w:rsidRPr="00F17A69">
        <w:rPr>
          <w:rFonts w:asciiTheme="majorBidi" w:hAnsiTheme="majorBidi" w:cstheme="majorBidi"/>
        </w:rPr>
        <w:t xml:space="preserve">cluding $290,000 of restricted cash. </w:t>
      </w:r>
      <w:r w:rsidR="00A51F7B">
        <w:rPr>
          <w:rFonts w:asciiTheme="majorBidi" w:hAnsiTheme="majorBidi" w:cstheme="majorBidi"/>
        </w:rPr>
        <w:t>OmniMetrix had</w:t>
      </w:r>
      <w:r w:rsidR="005123FF" w:rsidRPr="00A84A59">
        <w:rPr>
          <w:rFonts w:asciiTheme="majorBidi" w:hAnsiTheme="majorBidi" w:cstheme="majorBidi"/>
        </w:rPr>
        <w:t xml:space="preserve"> </w:t>
      </w:r>
      <w:r w:rsidRPr="00A84A59">
        <w:rPr>
          <w:rFonts w:asciiTheme="majorBidi" w:hAnsiTheme="majorBidi" w:cstheme="majorBidi"/>
        </w:rPr>
        <w:t>$</w:t>
      </w:r>
      <w:r w:rsidR="005123FF" w:rsidRPr="00A84A59">
        <w:rPr>
          <w:rFonts w:asciiTheme="majorBidi" w:hAnsiTheme="majorBidi" w:cstheme="majorBidi"/>
        </w:rPr>
        <w:t>151,000</w:t>
      </w:r>
      <w:r w:rsidR="00C20E50">
        <w:rPr>
          <w:rFonts w:asciiTheme="majorBidi" w:hAnsiTheme="majorBidi" w:cstheme="majorBidi"/>
        </w:rPr>
        <w:t xml:space="preserve"> out</w:t>
      </w:r>
      <w:r w:rsidRPr="00A84A59">
        <w:rPr>
          <w:rFonts w:asciiTheme="majorBidi" w:hAnsiTheme="majorBidi" w:cstheme="majorBidi"/>
        </w:rPr>
        <w:t xml:space="preserve">standing </w:t>
      </w:r>
      <w:r w:rsidR="005123FF" w:rsidRPr="00A84A59">
        <w:rPr>
          <w:rFonts w:asciiTheme="majorBidi" w:hAnsiTheme="majorBidi" w:cstheme="majorBidi"/>
        </w:rPr>
        <w:t xml:space="preserve">under its credit line </w:t>
      </w:r>
      <w:r w:rsidRPr="00A84A59">
        <w:rPr>
          <w:rFonts w:asciiTheme="majorBidi" w:hAnsiTheme="majorBidi" w:cstheme="majorBidi"/>
        </w:rPr>
        <w:t>and $</w:t>
      </w:r>
      <w:r w:rsidR="001F7839">
        <w:rPr>
          <w:rFonts w:asciiTheme="majorBidi" w:hAnsiTheme="majorBidi" w:cstheme="majorBidi"/>
        </w:rPr>
        <w:t>269</w:t>
      </w:r>
      <w:r w:rsidR="005123FF" w:rsidRPr="00A84A59">
        <w:rPr>
          <w:rFonts w:asciiTheme="majorBidi" w:hAnsiTheme="majorBidi" w:cstheme="majorBidi"/>
        </w:rPr>
        <w:t>,000</w:t>
      </w:r>
      <w:r w:rsidR="008C791A" w:rsidRPr="005123FF">
        <w:rPr>
          <w:rFonts w:asciiTheme="majorBidi" w:hAnsiTheme="majorBidi" w:cstheme="majorBidi"/>
        </w:rPr>
        <w:t xml:space="preserve"> available</w:t>
      </w:r>
      <w:r w:rsidR="00360862" w:rsidRPr="005123FF">
        <w:rPr>
          <w:rFonts w:asciiTheme="majorBidi" w:hAnsiTheme="majorBidi" w:cstheme="majorBidi"/>
        </w:rPr>
        <w:t xml:space="preserve"> under the </w:t>
      </w:r>
      <w:r w:rsidR="005123FF" w:rsidRPr="005123FF">
        <w:rPr>
          <w:rFonts w:asciiTheme="majorBidi" w:hAnsiTheme="majorBidi" w:cstheme="majorBidi"/>
        </w:rPr>
        <w:t>credit line</w:t>
      </w:r>
      <w:r w:rsidRPr="005123FF">
        <w:rPr>
          <w:rFonts w:asciiTheme="majorBidi" w:hAnsiTheme="majorBidi" w:cstheme="majorBidi"/>
        </w:rPr>
        <w:t>.</w:t>
      </w:r>
      <w:r w:rsidR="006E05D6" w:rsidRPr="005123FF">
        <w:rPr>
          <w:rFonts w:asciiTheme="majorBidi" w:hAnsiTheme="majorBidi" w:cstheme="majorBidi"/>
        </w:rPr>
        <w:t xml:space="preserve">  </w:t>
      </w:r>
    </w:p>
    <w:p w14:paraId="18CEC26F" w14:textId="77777777" w:rsidR="00372E2E" w:rsidRPr="009B2512" w:rsidRDefault="00372E2E" w:rsidP="000D54FE">
      <w:pPr>
        <w:spacing w:line="276" w:lineRule="auto"/>
        <w:rPr>
          <w:rFonts w:asciiTheme="majorBidi" w:hAnsiTheme="majorBidi" w:cstheme="majorBidi"/>
        </w:rPr>
      </w:pPr>
    </w:p>
    <w:p w14:paraId="4F05C95B" w14:textId="77777777" w:rsidR="00D061E0" w:rsidRPr="009B2512" w:rsidRDefault="00D061E0" w:rsidP="00E25767">
      <w:pPr>
        <w:spacing w:line="276" w:lineRule="auto"/>
        <w:rPr>
          <w:rFonts w:asciiTheme="majorBidi" w:hAnsiTheme="majorBidi" w:cstheme="majorBidi"/>
          <w:b/>
        </w:rPr>
      </w:pPr>
    </w:p>
    <w:p w14:paraId="2C0A8845" w14:textId="77777777" w:rsidR="00D061E0" w:rsidRPr="00194837" w:rsidRDefault="00D061E0" w:rsidP="00D061E0">
      <w:pPr>
        <w:pStyle w:val="NormalWeb"/>
        <w:spacing w:before="0" w:beforeAutospacing="0" w:after="0" w:afterAutospacing="0" w:line="276" w:lineRule="auto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194837">
        <w:rPr>
          <w:rFonts w:asciiTheme="majorBidi" w:hAnsiTheme="majorBidi" w:cstheme="majorBidi"/>
          <w:b/>
          <w:sz w:val="24"/>
          <w:szCs w:val="24"/>
        </w:rPr>
        <w:t>Conference Call Details</w:t>
      </w:r>
    </w:p>
    <w:p w14:paraId="2B1A7B3C" w14:textId="77777777" w:rsidR="00D061E0" w:rsidRPr="004F15C1" w:rsidRDefault="00D061E0" w:rsidP="00D061E0">
      <w:pPr>
        <w:pStyle w:val="Default"/>
        <w:spacing w:line="288" w:lineRule="auto"/>
        <w:rPr>
          <w:bCs/>
        </w:rPr>
      </w:pPr>
      <w:r w:rsidRPr="004F15C1">
        <w:rPr>
          <w:b/>
          <w:bCs/>
        </w:rPr>
        <w:tab/>
        <w:t>Date/Time:</w:t>
      </w:r>
      <w:r w:rsidRPr="004F15C1">
        <w:rPr>
          <w:b/>
          <w:bCs/>
        </w:rPr>
        <w:tab/>
      </w:r>
      <w:r w:rsidRPr="004F15C1">
        <w:rPr>
          <w:b/>
          <w:bCs/>
        </w:rPr>
        <w:tab/>
      </w:r>
      <w:r w:rsidRPr="004F15C1">
        <w:rPr>
          <w:b/>
          <w:bCs/>
        </w:rPr>
        <w:tab/>
      </w:r>
      <w:r w:rsidR="00473407">
        <w:rPr>
          <w:bCs/>
        </w:rPr>
        <w:t>Wedne</w:t>
      </w:r>
      <w:r w:rsidR="0051429F" w:rsidRPr="0089349A">
        <w:rPr>
          <w:bCs/>
        </w:rPr>
        <w:t>sday</w:t>
      </w:r>
      <w:r w:rsidRPr="0051429F">
        <w:rPr>
          <w:bCs/>
        </w:rPr>
        <w:t>,</w:t>
      </w:r>
      <w:r w:rsidRPr="004F15C1">
        <w:rPr>
          <w:bCs/>
        </w:rPr>
        <w:t xml:space="preserve"> </w:t>
      </w:r>
      <w:r w:rsidR="00473407">
        <w:rPr>
          <w:bCs/>
        </w:rPr>
        <w:t>March</w:t>
      </w:r>
      <w:r w:rsidR="009B28E0">
        <w:rPr>
          <w:bCs/>
        </w:rPr>
        <w:t xml:space="preserve"> </w:t>
      </w:r>
      <w:r w:rsidR="00473407">
        <w:rPr>
          <w:bCs/>
        </w:rPr>
        <w:t>27</w:t>
      </w:r>
      <w:r w:rsidR="0051429F">
        <w:rPr>
          <w:bCs/>
        </w:rPr>
        <w:t>th</w:t>
      </w:r>
      <w:r w:rsidRPr="004F15C1">
        <w:rPr>
          <w:bCs/>
        </w:rPr>
        <w:t xml:space="preserve"> at 11:00 am E</w:t>
      </w:r>
      <w:r w:rsidR="00BE4FC5">
        <w:rPr>
          <w:bCs/>
        </w:rPr>
        <w:t>D</w:t>
      </w:r>
      <w:r w:rsidRPr="004F15C1">
        <w:rPr>
          <w:bCs/>
        </w:rPr>
        <w:t>T</w:t>
      </w:r>
    </w:p>
    <w:p w14:paraId="31F6812B" w14:textId="77777777" w:rsidR="00D061E0" w:rsidRPr="004F15C1" w:rsidRDefault="00D061E0" w:rsidP="00D061E0">
      <w:pPr>
        <w:pStyle w:val="Default"/>
        <w:spacing w:line="288" w:lineRule="auto"/>
        <w:rPr>
          <w:bCs/>
        </w:rPr>
      </w:pPr>
      <w:r w:rsidRPr="004F15C1">
        <w:rPr>
          <w:bCs/>
        </w:rPr>
        <w:tab/>
      </w:r>
      <w:r w:rsidRPr="004F15C1">
        <w:rPr>
          <w:b/>
          <w:bCs/>
        </w:rPr>
        <w:t>Dial-in Number:</w:t>
      </w:r>
      <w:r w:rsidRPr="004F15C1">
        <w:rPr>
          <w:bCs/>
        </w:rPr>
        <w:tab/>
      </w:r>
      <w:r w:rsidRPr="004F15C1">
        <w:rPr>
          <w:bCs/>
        </w:rPr>
        <w:tab/>
      </w:r>
      <w:r w:rsidR="006E6DAC" w:rsidRPr="00473407">
        <w:rPr>
          <w:b/>
          <w:bCs/>
          <w:color w:val="000000" w:themeColor="text1"/>
        </w:rPr>
        <w:t>1-8</w:t>
      </w:r>
      <w:r w:rsidRPr="00473407">
        <w:rPr>
          <w:b/>
          <w:bCs/>
          <w:color w:val="000000" w:themeColor="text1"/>
        </w:rPr>
        <w:t>44-834-0644</w:t>
      </w:r>
      <w:r w:rsidRPr="00473407">
        <w:rPr>
          <w:bCs/>
          <w:color w:val="000000" w:themeColor="text1"/>
        </w:rPr>
        <w:t xml:space="preserve"> </w:t>
      </w:r>
      <w:r w:rsidRPr="00C217DE">
        <w:rPr>
          <w:bCs/>
        </w:rPr>
        <w:t>or 1-412-317-5190</w:t>
      </w:r>
      <w:r w:rsidRPr="004F15C1">
        <w:rPr>
          <w:bCs/>
        </w:rPr>
        <w:t xml:space="preserve"> (International)</w:t>
      </w:r>
    </w:p>
    <w:p w14:paraId="58C61654" w14:textId="77777777" w:rsidR="00D061E0" w:rsidRPr="004F15C1" w:rsidRDefault="00D061E0" w:rsidP="00D061E0">
      <w:pPr>
        <w:pStyle w:val="Default"/>
        <w:spacing w:line="288" w:lineRule="auto"/>
        <w:rPr>
          <w:bCs/>
        </w:rPr>
      </w:pPr>
      <w:r w:rsidRPr="004F15C1">
        <w:rPr>
          <w:b/>
          <w:bCs/>
        </w:rPr>
        <w:tab/>
        <w:t>Online Replay/Transcript:</w:t>
      </w:r>
      <w:r w:rsidRPr="004F15C1">
        <w:rPr>
          <w:b/>
          <w:bCs/>
        </w:rPr>
        <w:tab/>
      </w:r>
      <w:r w:rsidRPr="004F15C1">
        <w:rPr>
          <w:bCs/>
        </w:rPr>
        <w:t>Audio file and call transcript will be posted to the</w:t>
      </w:r>
    </w:p>
    <w:p w14:paraId="425367D6" w14:textId="77777777" w:rsidR="00D061E0" w:rsidRPr="004F15C1" w:rsidRDefault="00D061E0" w:rsidP="00D061E0">
      <w:pPr>
        <w:pStyle w:val="Default"/>
        <w:spacing w:line="288" w:lineRule="auto"/>
        <w:rPr>
          <w:bCs/>
        </w:rPr>
      </w:pPr>
      <w:r w:rsidRPr="004F15C1">
        <w:rPr>
          <w:bCs/>
        </w:rPr>
        <w:tab/>
      </w:r>
      <w:r w:rsidRPr="004F15C1">
        <w:rPr>
          <w:bCs/>
        </w:rPr>
        <w:tab/>
      </w:r>
      <w:r w:rsidRPr="004F15C1">
        <w:rPr>
          <w:bCs/>
        </w:rPr>
        <w:tab/>
      </w:r>
      <w:r w:rsidRPr="004F15C1">
        <w:rPr>
          <w:bCs/>
        </w:rPr>
        <w:tab/>
      </w:r>
      <w:r w:rsidRPr="004F15C1">
        <w:rPr>
          <w:bCs/>
        </w:rPr>
        <w:tab/>
        <w:t xml:space="preserve">Investor section of Acorn's </w:t>
      </w:r>
      <w:hyperlink r:id="rId13" w:history="1">
        <w:r w:rsidRPr="004F15C1">
          <w:rPr>
            <w:rStyle w:val="Hyperlink"/>
            <w:bCs/>
            <w:color w:val="0070C0"/>
          </w:rPr>
          <w:t>website</w:t>
        </w:r>
      </w:hyperlink>
      <w:r w:rsidRPr="004F15C1">
        <w:rPr>
          <w:bCs/>
          <w:color w:val="0070C0"/>
        </w:rPr>
        <w:t xml:space="preserve"> </w:t>
      </w:r>
      <w:r w:rsidRPr="004F15C1">
        <w:rPr>
          <w:bCs/>
        </w:rPr>
        <w:t xml:space="preserve">when available. </w:t>
      </w:r>
    </w:p>
    <w:p w14:paraId="14C355FC" w14:textId="77777777" w:rsidR="00D061E0" w:rsidRPr="007F56FB" w:rsidRDefault="00D061E0" w:rsidP="007F56FB">
      <w:pPr>
        <w:pStyle w:val="NormalWeb"/>
        <w:spacing w:before="0" w:beforeAutospacing="0" w:after="0" w:afterAutospacing="0" w:line="288" w:lineRule="auto"/>
        <w:ind w:firstLine="720"/>
        <w:rPr>
          <w:sz w:val="24"/>
          <w:szCs w:val="24"/>
        </w:rPr>
      </w:pPr>
      <w:r w:rsidRPr="004F15C1">
        <w:rPr>
          <w:b/>
          <w:sz w:val="24"/>
          <w:szCs w:val="24"/>
        </w:rPr>
        <w:t>Email Option for Q&amp;A</w:t>
      </w:r>
      <w:r w:rsidRPr="004F15C1">
        <w:rPr>
          <w:sz w:val="24"/>
          <w:szCs w:val="24"/>
        </w:rPr>
        <w:t>:</w:t>
      </w:r>
      <w:r w:rsidRPr="004F15C1">
        <w:rPr>
          <w:sz w:val="24"/>
          <w:szCs w:val="24"/>
        </w:rPr>
        <w:tab/>
      </w:r>
      <w:hyperlink r:id="rId14" w:history="1">
        <w:r w:rsidRPr="004F15C1">
          <w:rPr>
            <w:rStyle w:val="Hyperlink"/>
            <w:color w:val="0070C0"/>
            <w:sz w:val="24"/>
            <w:szCs w:val="24"/>
          </w:rPr>
          <w:t>acfn@catalyst-ir.com</w:t>
        </w:r>
      </w:hyperlink>
      <w:r w:rsidRPr="004F15C1">
        <w:rPr>
          <w:sz w:val="24"/>
          <w:szCs w:val="24"/>
        </w:rPr>
        <w:t xml:space="preserve"> – before or after the call.</w:t>
      </w:r>
    </w:p>
    <w:p w14:paraId="24C664D6" w14:textId="77777777" w:rsidR="00D061E0" w:rsidRPr="009B2512" w:rsidRDefault="00D061E0" w:rsidP="00D061E0">
      <w:pPr>
        <w:spacing w:line="276" w:lineRule="auto"/>
        <w:outlineLvl w:val="0"/>
        <w:rPr>
          <w:rFonts w:asciiTheme="majorBidi" w:hAnsiTheme="majorBidi" w:cstheme="majorBidi"/>
          <w:b/>
          <w:bCs/>
        </w:rPr>
      </w:pPr>
    </w:p>
    <w:p w14:paraId="6A1739BC" w14:textId="77777777" w:rsidR="00D061E0" w:rsidRPr="009B2512" w:rsidRDefault="00D061E0" w:rsidP="00D061E0">
      <w:pPr>
        <w:spacing w:line="276" w:lineRule="auto"/>
        <w:outlineLvl w:val="0"/>
        <w:rPr>
          <w:rFonts w:asciiTheme="majorBidi" w:hAnsiTheme="majorBidi" w:cstheme="majorBidi"/>
          <w:b/>
          <w:bCs/>
        </w:rPr>
      </w:pPr>
      <w:r w:rsidRPr="009B2512">
        <w:rPr>
          <w:rFonts w:asciiTheme="majorBidi" w:hAnsiTheme="majorBidi" w:cstheme="majorBidi"/>
          <w:b/>
          <w:bCs/>
        </w:rPr>
        <w:t>About Acorn (</w:t>
      </w:r>
      <w:hyperlink r:id="rId15" w:history="1">
        <w:r w:rsidRPr="009B2512">
          <w:rPr>
            <w:rFonts w:asciiTheme="majorBidi" w:hAnsiTheme="majorBidi" w:cstheme="majorBidi"/>
            <w:bCs/>
            <w:color w:val="0070C0"/>
            <w:u w:val="single"/>
          </w:rPr>
          <w:t>www.acornenergy.com</w:t>
        </w:r>
      </w:hyperlink>
      <w:r w:rsidRPr="009B2512">
        <w:rPr>
          <w:rFonts w:asciiTheme="majorBidi" w:hAnsiTheme="majorBidi" w:cstheme="majorBidi"/>
          <w:b/>
          <w:bCs/>
        </w:rPr>
        <w:t xml:space="preserve">) </w:t>
      </w:r>
      <w:r w:rsidRPr="009B2512">
        <w:rPr>
          <w:rFonts w:asciiTheme="majorBidi" w:hAnsiTheme="majorBidi" w:cstheme="majorBidi"/>
          <w:bCs/>
        </w:rPr>
        <w:t xml:space="preserve">and </w:t>
      </w:r>
      <w:r w:rsidRPr="009B2512">
        <w:rPr>
          <w:rFonts w:asciiTheme="majorBidi" w:hAnsiTheme="majorBidi" w:cstheme="majorBidi"/>
          <w:b/>
          <w:bCs/>
        </w:rPr>
        <w:t>OmniMetrix</w:t>
      </w:r>
      <w:r w:rsidRPr="009B2512">
        <w:rPr>
          <w:rFonts w:asciiTheme="majorBidi" w:hAnsiTheme="majorBidi" w:cstheme="majorBidi"/>
        </w:rPr>
        <w:t>™</w:t>
      </w:r>
      <w:r w:rsidRPr="009B2512">
        <w:rPr>
          <w:rFonts w:asciiTheme="majorBidi" w:hAnsiTheme="majorBidi" w:cstheme="majorBidi"/>
          <w:b/>
          <w:bCs/>
        </w:rPr>
        <w:t xml:space="preserve"> </w:t>
      </w:r>
      <w:r w:rsidRPr="009B2512">
        <w:rPr>
          <w:rFonts w:asciiTheme="majorBidi" w:hAnsiTheme="majorBidi" w:cstheme="majorBidi"/>
        </w:rPr>
        <w:t>(</w:t>
      </w:r>
      <w:hyperlink r:id="rId16" w:history="1">
        <w:r w:rsidRPr="009B2512">
          <w:rPr>
            <w:rFonts w:asciiTheme="majorBidi" w:hAnsiTheme="majorBidi" w:cstheme="majorBidi"/>
            <w:color w:val="0070C0"/>
            <w:u w:val="single"/>
          </w:rPr>
          <w:t>www.omnimetrix.net</w:t>
        </w:r>
      </w:hyperlink>
      <w:r w:rsidRPr="009B2512">
        <w:rPr>
          <w:rFonts w:asciiTheme="majorBidi" w:hAnsiTheme="majorBidi" w:cstheme="majorBidi"/>
        </w:rPr>
        <w:t>)</w:t>
      </w:r>
    </w:p>
    <w:p w14:paraId="180ED2E4" w14:textId="77777777" w:rsidR="00D061E0" w:rsidRPr="009B2512" w:rsidRDefault="00D061E0" w:rsidP="00D061E0">
      <w:pPr>
        <w:spacing w:line="276" w:lineRule="auto"/>
        <w:rPr>
          <w:rFonts w:asciiTheme="majorBidi" w:hAnsiTheme="majorBidi" w:cstheme="majorBidi"/>
        </w:rPr>
      </w:pPr>
      <w:r w:rsidRPr="009B2512">
        <w:rPr>
          <w:rFonts w:asciiTheme="majorBidi" w:hAnsiTheme="majorBidi" w:cstheme="majorBidi"/>
        </w:rPr>
        <w:t>Acorn Energy, Inc. owns an 80% equity stake in OmniMetrix, Inc</w:t>
      </w:r>
      <w:r w:rsidRPr="00045430">
        <w:rPr>
          <w:rFonts w:asciiTheme="majorBidi" w:hAnsiTheme="majorBidi" w:cstheme="majorBidi"/>
        </w:rPr>
        <w:t>.</w:t>
      </w:r>
      <w:r w:rsidR="00586819" w:rsidRPr="00C344C0">
        <w:rPr>
          <w:rFonts w:asciiTheme="majorBidi" w:hAnsiTheme="majorBidi" w:cstheme="majorBidi"/>
        </w:rPr>
        <w:t>,</w:t>
      </w:r>
      <w:r w:rsidR="00586819">
        <w:rPr>
          <w:rFonts w:asciiTheme="majorBidi" w:hAnsiTheme="majorBidi" w:cstheme="majorBidi"/>
          <w:b/>
        </w:rPr>
        <w:t xml:space="preserve"> </w:t>
      </w:r>
      <w:r w:rsidRPr="009B2512">
        <w:rPr>
          <w:rFonts w:asciiTheme="majorBidi" w:hAnsiTheme="majorBidi" w:cstheme="majorBidi"/>
        </w:rPr>
        <w:t>a pioneer and leader in machine-to-machine (M2M) and Internet of Things</w:t>
      </w:r>
      <w:r>
        <w:rPr>
          <w:rFonts w:asciiTheme="majorBidi" w:hAnsiTheme="majorBidi" w:cstheme="majorBidi"/>
        </w:rPr>
        <w:t xml:space="preserve"> (IoT)</w:t>
      </w:r>
      <w:r w:rsidRPr="009B2512">
        <w:rPr>
          <w:rFonts w:asciiTheme="majorBidi" w:hAnsiTheme="majorBidi" w:cstheme="majorBidi"/>
        </w:rPr>
        <w:t xml:space="preserve"> wireless remote monitoring and control for gas pipelines and stand-by generators used in cell towers, medical facilities, data centers, public transportation systems and for other critical equipment, including at federal, state and municipal government facilities. OmniMetrix offers proven, cost-effective solutions for making critical systems more reliable with thousands of monitored assets and thou</w:t>
      </w:r>
      <w:r w:rsidR="00294B0D">
        <w:rPr>
          <w:rFonts w:asciiTheme="majorBidi" w:hAnsiTheme="majorBidi" w:cstheme="majorBidi"/>
        </w:rPr>
        <w:t xml:space="preserve">sands of customers, including </w:t>
      </w:r>
      <w:r w:rsidR="00294B0D" w:rsidRPr="000566BF">
        <w:rPr>
          <w:rFonts w:asciiTheme="majorBidi" w:hAnsiTheme="majorBidi" w:cstheme="majorBidi"/>
        </w:rPr>
        <w:t>24</w:t>
      </w:r>
      <w:r w:rsidRPr="000566BF">
        <w:rPr>
          <w:rFonts w:asciiTheme="majorBidi" w:hAnsiTheme="majorBidi" w:cstheme="majorBidi"/>
        </w:rPr>
        <w:t xml:space="preserve"> i</w:t>
      </w:r>
      <w:r w:rsidRPr="009B2512">
        <w:rPr>
          <w:rFonts w:asciiTheme="majorBidi" w:hAnsiTheme="majorBidi" w:cstheme="majorBidi"/>
        </w:rPr>
        <w:t>n the Fortune 500 or Fortune Global 500.</w:t>
      </w:r>
    </w:p>
    <w:p w14:paraId="0BBD3665" w14:textId="77777777" w:rsidR="002865D1" w:rsidRDefault="002865D1" w:rsidP="00D061E0">
      <w:pPr>
        <w:outlineLvl w:val="0"/>
        <w:rPr>
          <w:rFonts w:asciiTheme="majorBidi" w:hAnsiTheme="majorBidi" w:cstheme="majorBidi"/>
          <w:b/>
        </w:rPr>
      </w:pPr>
    </w:p>
    <w:p w14:paraId="74DC71B1" w14:textId="77777777" w:rsidR="00D061E0" w:rsidRPr="009B2512" w:rsidRDefault="00D061E0" w:rsidP="00D061E0">
      <w:pPr>
        <w:outlineLvl w:val="0"/>
        <w:rPr>
          <w:rFonts w:asciiTheme="majorBidi" w:hAnsiTheme="majorBidi" w:cstheme="majorBidi"/>
          <w:b/>
        </w:rPr>
      </w:pPr>
      <w:r w:rsidRPr="009B2512">
        <w:rPr>
          <w:rFonts w:asciiTheme="majorBidi" w:hAnsiTheme="majorBidi" w:cstheme="majorBidi"/>
          <w:b/>
        </w:rPr>
        <w:t>Safe Harbor Statement</w:t>
      </w:r>
    </w:p>
    <w:p w14:paraId="48028B8F" w14:textId="77777777" w:rsidR="00D061E0" w:rsidRPr="00CA68B4" w:rsidRDefault="00D061E0" w:rsidP="00CA68B4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9B2512">
        <w:rPr>
          <w:rFonts w:asciiTheme="majorBidi" w:hAnsiTheme="majorBidi" w:cstheme="majorBidi"/>
          <w:sz w:val="24"/>
          <w:szCs w:val="24"/>
        </w:rPr>
        <w:t>This press release includes forward-looking statements, which are subject to risks and uncertainties. There is no assurance that Acorn will be successful in growing its business</w:t>
      </w:r>
      <w:r w:rsidR="002F4141">
        <w:rPr>
          <w:rFonts w:asciiTheme="majorBidi" w:hAnsiTheme="majorBidi" w:cstheme="majorBidi"/>
          <w:sz w:val="24"/>
          <w:szCs w:val="24"/>
        </w:rPr>
        <w:t>,</w:t>
      </w:r>
      <w:r w:rsidRPr="009B2512">
        <w:rPr>
          <w:rFonts w:asciiTheme="majorBidi" w:hAnsiTheme="majorBidi" w:cstheme="majorBidi"/>
          <w:sz w:val="24"/>
          <w:szCs w:val="24"/>
        </w:rPr>
        <w:t xml:space="preserve"> reaching profitability</w:t>
      </w:r>
      <w:r w:rsidR="002F4141">
        <w:rPr>
          <w:rFonts w:asciiTheme="majorBidi" w:hAnsiTheme="majorBidi" w:cstheme="majorBidi"/>
          <w:sz w:val="24"/>
          <w:szCs w:val="24"/>
        </w:rPr>
        <w:t>,</w:t>
      </w:r>
      <w:r w:rsidRPr="009B2512">
        <w:rPr>
          <w:rFonts w:asciiTheme="majorBidi" w:hAnsiTheme="majorBidi" w:cstheme="majorBidi"/>
          <w:sz w:val="24"/>
          <w:szCs w:val="24"/>
        </w:rPr>
        <w:t xml:space="preserve"> or maximizing the value of its operating company and other assets. A complete discussion of the risks and uncertainties</w:t>
      </w:r>
      <w:r w:rsidR="002F4141">
        <w:rPr>
          <w:rFonts w:asciiTheme="majorBidi" w:hAnsiTheme="majorBidi" w:cstheme="majorBidi"/>
          <w:sz w:val="24"/>
          <w:szCs w:val="24"/>
        </w:rPr>
        <w:t xml:space="preserve"> that</w:t>
      </w:r>
      <w:r w:rsidRPr="009B2512">
        <w:rPr>
          <w:rFonts w:asciiTheme="majorBidi" w:hAnsiTheme="majorBidi" w:cstheme="majorBidi"/>
          <w:sz w:val="24"/>
          <w:szCs w:val="24"/>
        </w:rPr>
        <w:t xml:space="preserve"> may affect Acorn Energy’s business, including the business of its subsidiar</w:t>
      </w:r>
      <w:r w:rsidR="002F4141">
        <w:rPr>
          <w:rFonts w:asciiTheme="majorBidi" w:hAnsiTheme="majorBidi" w:cstheme="majorBidi"/>
          <w:sz w:val="24"/>
          <w:szCs w:val="24"/>
        </w:rPr>
        <w:t>y,</w:t>
      </w:r>
      <w:r w:rsidRPr="009B2512">
        <w:rPr>
          <w:rFonts w:asciiTheme="majorBidi" w:hAnsiTheme="majorBidi" w:cstheme="majorBidi"/>
          <w:sz w:val="24"/>
          <w:szCs w:val="24"/>
        </w:rPr>
        <w:t xml:space="preserve"> is included in “Risk Factors” in the Company’s most recent Annual Report on Form 10-K as filed by the Company with the Securities and Exchange Commission.</w:t>
      </w:r>
    </w:p>
    <w:p w14:paraId="24B0DB52" w14:textId="77777777" w:rsidR="00352FF3" w:rsidRDefault="00352FF3" w:rsidP="00D061E0">
      <w:pPr>
        <w:outlineLvl w:val="0"/>
        <w:rPr>
          <w:rFonts w:asciiTheme="majorBidi" w:hAnsiTheme="majorBidi" w:cstheme="majorBidi"/>
          <w:b/>
        </w:rPr>
      </w:pPr>
    </w:p>
    <w:p w14:paraId="2FDAA19F" w14:textId="77777777" w:rsidR="00D061E0" w:rsidRPr="009B2512" w:rsidRDefault="00D061E0" w:rsidP="00D061E0">
      <w:pPr>
        <w:outlineLvl w:val="0"/>
        <w:rPr>
          <w:rFonts w:asciiTheme="majorBidi" w:hAnsiTheme="majorBidi" w:cstheme="majorBidi"/>
          <w:b/>
        </w:rPr>
      </w:pPr>
      <w:r w:rsidRPr="009B2512">
        <w:rPr>
          <w:rFonts w:asciiTheme="majorBidi" w:hAnsiTheme="majorBidi" w:cstheme="majorBidi"/>
          <w:b/>
        </w:rPr>
        <w:t>Follow us</w:t>
      </w:r>
    </w:p>
    <w:p w14:paraId="71771984" w14:textId="77777777" w:rsidR="00D061E0" w:rsidRPr="009B2512" w:rsidRDefault="00D061E0" w:rsidP="00D061E0">
      <w:pPr>
        <w:pStyle w:val="Default"/>
        <w:rPr>
          <w:rFonts w:asciiTheme="majorBidi" w:hAnsiTheme="majorBidi" w:cstheme="majorBidi"/>
          <w:bCs/>
        </w:rPr>
      </w:pPr>
      <w:r w:rsidRPr="009B2512">
        <w:rPr>
          <w:rFonts w:asciiTheme="majorBidi" w:hAnsiTheme="majorBidi" w:cstheme="majorBidi"/>
          <w:bCs/>
        </w:rPr>
        <w:t xml:space="preserve">Twitter: </w:t>
      </w:r>
      <w:hyperlink r:id="rId17" w:history="1">
        <w:r w:rsidRPr="009B2512">
          <w:rPr>
            <w:rStyle w:val="Hyperlink"/>
            <w:rFonts w:asciiTheme="majorBidi" w:hAnsiTheme="majorBidi" w:cstheme="majorBidi"/>
            <w:bCs/>
            <w:color w:val="0070C0"/>
          </w:rPr>
          <w:t>@</w:t>
        </w:r>
        <w:proofErr w:type="spellStart"/>
        <w:r w:rsidRPr="009B2512">
          <w:rPr>
            <w:rStyle w:val="Hyperlink"/>
            <w:rFonts w:asciiTheme="majorBidi" w:hAnsiTheme="majorBidi" w:cstheme="majorBidi"/>
            <w:bCs/>
            <w:color w:val="0070C0"/>
          </w:rPr>
          <w:t>Acorn_IR</w:t>
        </w:r>
        <w:proofErr w:type="spellEnd"/>
      </w:hyperlink>
      <w:r w:rsidRPr="009B2512">
        <w:rPr>
          <w:rFonts w:asciiTheme="majorBidi" w:hAnsiTheme="majorBidi" w:cstheme="majorBidi"/>
          <w:bCs/>
          <w:color w:val="0070C0"/>
        </w:rPr>
        <w:t xml:space="preserve"> </w:t>
      </w:r>
      <w:r w:rsidR="00586819">
        <w:rPr>
          <w:bCs/>
          <w:color w:val="000000" w:themeColor="text1"/>
        </w:rPr>
        <w:t>and</w:t>
      </w:r>
      <w:r w:rsidR="00586819">
        <w:rPr>
          <w:bCs/>
          <w:color w:val="0070C0"/>
        </w:rPr>
        <w:t xml:space="preserve"> </w:t>
      </w:r>
      <w:hyperlink r:id="rId18" w:history="1">
        <w:r w:rsidR="00586819" w:rsidRPr="00AF2DDE">
          <w:rPr>
            <w:rStyle w:val="Hyperlink"/>
            <w:rFonts w:eastAsiaTheme="minorEastAsia"/>
            <w:color w:val="0070C0"/>
          </w:rPr>
          <w:t>@</w:t>
        </w:r>
        <w:r w:rsidR="00586819" w:rsidRPr="00AF2DDE">
          <w:rPr>
            <w:rStyle w:val="Hyperlink"/>
            <w:rFonts w:eastAsiaTheme="minorEastAsia"/>
            <w:bCs/>
            <w:color w:val="0070C0"/>
          </w:rPr>
          <w:t>OmniMetrix</w:t>
        </w:r>
      </w:hyperlink>
    </w:p>
    <w:p w14:paraId="011AC51C" w14:textId="77777777" w:rsidR="00D061E0" w:rsidRPr="009B2512" w:rsidRDefault="00D061E0" w:rsidP="00D061E0">
      <w:pPr>
        <w:pStyle w:val="Default"/>
        <w:rPr>
          <w:rFonts w:asciiTheme="majorBidi" w:hAnsiTheme="majorBidi" w:cstheme="majorBidi"/>
          <w:b/>
          <w:bCs/>
        </w:rPr>
      </w:pPr>
    </w:p>
    <w:p w14:paraId="7B0862DD" w14:textId="77777777" w:rsidR="00D061E0" w:rsidRPr="009B2512" w:rsidRDefault="00D061E0" w:rsidP="00D061E0">
      <w:pPr>
        <w:pStyle w:val="Default"/>
        <w:rPr>
          <w:rFonts w:asciiTheme="majorBidi" w:hAnsiTheme="majorBidi" w:cstheme="majorBidi"/>
          <w:b/>
          <w:bCs/>
        </w:rPr>
      </w:pPr>
      <w:r w:rsidRPr="009B2512">
        <w:rPr>
          <w:rFonts w:asciiTheme="majorBidi" w:hAnsiTheme="majorBidi" w:cstheme="majorBidi"/>
          <w:b/>
          <w:bCs/>
        </w:rPr>
        <w:t>Investor Relations Contacts</w:t>
      </w:r>
    </w:p>
    <w:p w14:paraId="0BC5B220" w14:textId="77777777" w:rsidR="00D061E0" w:rsidRPr="009B2512" w:rsidRDefault="00D061E0" w:rsidP="00D061E0">
      <w:pPr>
        <w:pStyle w:val="Default"/>
        <w:rPr>
          <w:rFonts w:asciiTheme="majorBidi" w:hAnsiTheme="majorBidi" w:cstheme="majorBidi"/>
          <w:bCs/>
        </w:rPr>
      </w:pPr>
      <w:r w:rsidRPr="009B2512">
        <w:rPr>
          <w:rFonts w:asciiTheme="majorBidi" w:hAnsiTheme="majorBidi" w:cstheme="majorBidi"/>
          <w:bCs/>
        </w:rPr>
        <w:t>William Jones, 267-987-2082</w:t>
      </w:r>
    </w:p>
    <w:p w14:paraId="3A4F1B9D" w14:textId="77777777" w:rsidR="00D061E0" w:rsidRPr="009B2512" w:rsidRDefault="00D061E0" w:rsidP="00D061E0">
      <w:pPr>
        <w:pStyle w:val="Default"/>
        <w:rPr>
          <w:rFonts w:asciiTheme="majorBidi" w:hAnsiTheme="majorBidi" w:cstheme="majorBidi"/>
          <w:bCs/>
        </w:rPr>
      </w:pPr>
      <w:r w:rsidRPr="009B2512">
        <w:rPr>
          <w:rFonts w:asciiTheme="majorBidi" w:hAnsiTheme="majorBidi" w:cstheme="majorBidi"/>
          <w:bCs/>
        </w:rPr>
        <w:t>David Collins, 212-924-9800</w:t>
      </w:r>
    </w:p>
    <w:p w14:paraId="07E33366" w14:textId="77777777" w:rsidR="00D061E0" w:rsidRPr="009B2512" w:rsidRDefault="00D061E0" w:rsidP="00D061E0">
      <w:pPr>
        <w:pStyle w:val="Default"/>
        <w:rPr>
          <w:rFonts w:asciiTheme="majorBidi" w:hAnsiTheme="majorBidi" w:cstheme="majorBidi"/>
          <w:bCs/>
        </w:rPr>
      </w:pPr>
      <w:r w:rsidRPr="009B2512">
        <w:rPr>
          <w:rFonts w:asciiTheme="majorBidi" w:hAnsiTheme="majorBidi" w:cstheme="majorBidi"/>
          <w:bCs/>
        </w:rPr>
        <w:t>Catalyst IR</w:t>
      </w:r>
    </w:p>
    <w:p w14:paraId="32378FF8" w14:textId="77777777" w:rsidR="00FA14AF" w:rsidRPr="006D0787" w:rsidRDefault="00DE643E" w:rsidP="003F6923">
      <w:pPr>
        <w:pStyle w:val="Default"/>
      </w:pPr>
      <w:hyperlink r:id="rId19" w:history="1">
        <w:r w:rsidR="00D061E0" w:rsidRPr="006D0787">
          <w:rPr>
            <w:rStyle w:val="Hyperlink"/>
            <w:rFonts w:asciiTheme="majorBidi" w:hAnsiTheme="majorBidi" w:cstheme="majorBidi"/>
            <w:bCs/>
            <w:color w:val="0070C0"/>
          </w:rPr>
          <w:t>acfn@catalyst-ir.com</w:t>
        </w:r>
      </w:hyperlink>
    </w:p>
    <w:p w14:paraId="0BA6E482" w14:textId="77777777" w:rsidR="00020D52" w:rsidRDefault="00020D52" w:rsidP="00FA14AF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14:paraId="36DE0FFC" w14:textId="77777777" w:rsidR="004D2DE0" w:rsidRDefault="004D2DE0" w:rsidP="00FA14AF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14:paraId="0017FC62" w14:textId="77777777" w:rsidR="00FA14AF" w:rsidRPr="00685B0D" w:rsidRDefault="00FA14AF" w:rsidP="00FA14AF">
      <w:pPr>
        <w:pStyle w:val="NormalWeb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685B0D">
        <w:rPr>
          <w:b/>
          <w:bCs/>
          <w:sz w:val="22"/>
          <w:szCs w:val="22"/>
        </w:rPr>
        <w:t>ACORN ENERGY, INC. AND SUBSIDIARIES</w:t>
      </w:r>
    </w:p>
    <w:p w14:paraId="3339FA2B" w14:textId="77777777" w:rsidR="00FA14AF" w:rsidRPr="00685B0D" w:rsidRDefault="00FA14AF" w:rsidP="00FA14A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bookmarkStart w:id="1" w:name="a_004"/>
      <w:bookmarkEnd w:id="1"/>
      <w:r w:rsidRPr="00685B0D">
        <w:rPr>
          <w:b/>
          <w:bCs/>
          <w:sz w:val="22"/>
          <w:szCs w:val="22"/>
        </w:rPr>
        <w:t xml:space="preserve">CONSOLIDATED </w:t>
      </w:r>
      <w:r w:rsidR="005778C9">
        <w:rPr>
          <w:b/>
          <w:bCs/>
          <w:sz w:val="22"/>
          <w:szCs w:val="22"/>
        </w:rPr>
        <w:t>STATEMENTS OF OPERATIONS</w:t>
      </w:r>
    </w:p>
    <w:p w14:paraId="523F10CC" w14:textId="77777777" w:rsidR="00FA14AF" w:rsidRDefault="00FA14AF" w:rsidP="00FA14AF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85B0D">
        <w:rPr>
          <w:b/>
          <w:bCs/>
          <w:sz w:val="22"/>
          <w:szCs w:val="22"/>
        </w:rPr>
        <w:t>(IN THOUSANDS, EXCEPT PER SHARE DATA)</w:t>
      </w:r>
    </w:p>
    <w:p w14:paraId="58744D08" w14:textId="77777777" w:rsidR="004D2DE0" w:rsidRPr="00685B0D" w:rsidRDefault="004D2DE0" w:rsidP="00FA14A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00BC0D78" w14:textId="77777777" w:rsidR="00FA14AF" w:rsidRPr="00685B0D" w:rsidRDefault="00FA14AF" w:rsidP="00FA14A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685B0D">
        <w:rPr>
          <w:sz w:val="22"/>
          <w:szCs w:val="22"/>
        </w:rPr>
        <w:t> </w:t>
      </w:r>
    </w:p>
    <w:tbl>
      <w:tblPr>
        <w:tblW w:w="5532" w:type="pct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60"/>
        <w:gridCol w:w="110"/>
        <w:gridCol w:w="891"/>
        <w:gridCol w:w="75"/>
        <w:gridCol w:w="58"/>
        <w:gridCol w:w="112"/>
        <w:gridCol w:w="907"/>
        <w:gridCol w:w="130"/>
        <w:gridCol w:w="66"/>
        <w:gridCol w:w="112"/>
        <w:gridCol w:w="1009"/>
        <w:gridCol w:w="145"/>
        <w:gridCol w:w="68"/>
        <w:gridCol w:w="114"/>
        <w:gridCol w:w="913"/>
        <w:gridCol w:w="129"/>
      </w:tblGrid>
      <w:tr w:rsidR="001C255E" w:rsidRPr="001F7839" w14:paraId="3FA1A789" w14:textId="77777777" w:rsidTr="00DB2775">
        <w:tc>
          <w:tcPr>
            <w:tcW w:w="2635" w:type="pct"/>
            <w:shd w:val="clear" w:color="auto" w:fill="auto"/>
            <w:vAlign w:val="bottom"/>
            <w:hideMark/>
          </w:tcPr>
          <w:p w14:paraId="495D54BD" w14:textId="77777777" w:rsidR="00FA14AF" w:rsidRPr="00685B0D" w:rsidRDefault="00FA14AF" w:rsidP="007179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88AD95" w14:textId="77777777" w:rsidR="00FA14AF" w:rsidRPr="00685B0D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39" w:type="pct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277E0AE" w14:textId="77777777" w:rsidR="00FA14AF" w:rsidRPr="001F7839" w:rsidRDefault="000863BD" w:rsidP="0071795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7839">
              <w:rPr>
                <w:b/>
                <w:bCs/>
                <w:sz w:val="22"/>
                <w:szCs w:val="22"/>
              </w:rPr>
              <w:t>Three months ended</w:t>
            </w:r>
            <w:r w:rsidRPr="001F7839">
              <w:rPr>
                <w:b/>
                <w:bCs/>
                <w:sz w:val="22"/>
                <w:szCs w:val="22"/>
              </w:rPr>
              <w:br/>
              <w:t>December 31</w:t>
            </w:r>
            <w:r w:rsidR="00A549ED" w:rsidRPr="001F7839"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F34BDB" w14:textId="77777777" w:rsidR="00FA14AF" w:rsidRPr="001F7839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B1BF78" w14:textId="77777777" w:rsidR="00FA14AF" w:rsidRPr="00A51F7B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1F7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10B06D5" w14:textId="77777777" w:rsidR="00A549ED" w:rsidRPr="00DC6B19" w:rsidRDefault="005778C9" w:rsidP="00A549E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B19">
              <w:rPr>
                <w:b/>
                <w:bCs/>
                <w:sz w:val="22"/>
                <w:szCs w:val="22"/>
              </w:rPr>
              <w:t>Year</w:t>
            </w:r>
            <w:r w:rsidR="00A549ED" w:rsidRPr="00DC6B19">
              <w:rPr>
                <w:b/>
                <w:bCs/>
                <w:sz w:val="22"/>
                <w:szCs w:val="22"/>
              </w:rPr>
              <w:t xml:space="preserve"> ended</w:t>
            </w:r>
          </w:p>
          <w:p w14:paraId="0F11E19D" w14:textId="77777777" w:rsidR="00FA14AF" w:rsidRPr="001F7839" w:rsidRDefault="000863BD" w:rsidP="00A549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December 31</w:t>
            </w:r>
            <w:r w:rsidR="00A549ED"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08FB68" w14:textId="77777777" w:rsidR="00FA14AF" w:rsidRPr="001F7839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C255E" w:rsidRPr="001F7839" w14:paraId="77E799EC" w14:textId="77777777" w:rsidTr="00DB2775">
        <w:tc>
          <w:tcPr>
            <w:tcW w:w="2635" w:type="pct"/>
            <w:shd w:val="clear" w:color="auto" w:fill="auto"/>
            <w:vAlign w:val="bottom"/>
            <w:hideMark/>
          </w:tcPr>
          <w:p w14:paraId="37A51C0B" w14:textId="77777777" w:rsidR="00FA14AF" w:rsidRPr="00685B0D" w:rsidRDefault="00FA14AF" w:rsidP="007179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31B3B4" w14:textId="77777777" w:rsidR="00FA14AF" w:rsidRPr="00685B0D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5B0D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1C7D4D7" w14:textId="77777777" w:rsidR="00FA14AF" w:rsidRPr="001F7839" w:rsidRDefault="00FA14AF" w:rsidP="007179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3CE46B" w14:textId="77777777" w:rsidR="00FA14AF" w:rsidRPr="001F7839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13AC12" w14:textId="77777777" w:rsidR="00FA14AF" w:rsidRPr="00A51F7B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1F7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6BD0828" w14:textId="77777777" w:rsidR="00FA14AF" w:rsidRPr="00DC6B19" w:rsidRDefault="00FA14AF" w:rsidP="007179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6B19">
              <w:rPr>
                <w:rFonts w:ascii="Times New Roman" w:hAnsi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EEA34D" w14:textId="77777777" w:rsidR="00FA14AF" w:rsidRPr="001F7839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FB805E" w14:textId="77777777" w:rsidR="00FA14AF" w:rsidRPr="001F7839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0783CE4" w14:textId="77777777" w:rsidR="00FA14AF" w:rsidRPr="001F7839" w:rsidRDefault="00FA14AF" w:rsidP="007179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C4A6C8" w14:textId="77777777" w:rsidR="00FA14AF" w:rsidRPr="001F7839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3F2A16" w14:textId="77777777" w:rsidR="00FA14AF" w:rsidRPr="001F7839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pct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03E6955" w14:textId="77777777" w:rsidR="00FA14AF" w:rsidRPr="001F7839" w:rsidRDefault="00FA14AF" w:rsidP="007179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BA578" w14:textId="77777777" w:rsidR="00FA14AF" w:rsidRPr="001F7839" w:rsidRDefault="00FA14AF" w:rsidP="007179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783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C255E" w:rsidRPr="001F7839" w14:paraId="7C8CF9AE" w14:textId="77777777" w:rsidTr="00DB2775">
        <w:tc>
          <w:tcPr>
            <w:tcW w:w="2635" w:type="pct"/>
            <w:shd w:val="clear" w:color="auto" w:fill="auto"/>
            <w:vAlign w:val="bottom"/>
            <w:hideMark/>
          </w:tcPr>
          <w:p w14:paraId="0B08EED2" w14:textId="77777777" w:rsidR="00FA14AF" w:rsidRPr="00685B0D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70BE99F8" w14:textId="77777777" w:rsidR="00FA14AF" w:rsidRPr="00685B0D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shd w:val="clear" w:color="auto" w:fill="auto"/>
            <w:vAlign w:val="bottom"/>
            <w:hideMark/>
          </w:tcPr>
          <w:p w14:paraId="5B25BB53" w14:textId="77777777" w:rsidR="00FA14AF" w:rsidRPr="001F7839" w:rsidRDefault="00FA14AF" w:rsidP="007179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51903F49" w14:textId="77777777" w:rsidR="00FA14AF" w:rsidRPr="001F7839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25D8AF15" w14:textId="77777777" w:rsidR="00FA14AF" w:rsidRPr="00A51F7B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2"/>
            <w:shd w:val="clear" w:color="auto" w:fill="auto"/>
            <w:vAlign w:val="bottom"/>
            <w:hideMark/>
          </w:tcPr>
          <w:p w14:paraId="04C19120" w14:textId="77777777" w:rsidR="00FA14AF" w:rsidRPr="00DC6B19" w:rsidRDefault="00FA14AF" w:rsidP="007179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10E91999" w14:textId="77777777" w:rsidR="00FA14AF" w:rsidRPr="001F7839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5987B30F" w14:textId="77777777" w:rsidR="00FA14AF" w:rsidRPr="001F7839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45ED344B" w14:textId="77777777" w:rsidR="00FA14AF" w:rsidRPr="001F7839" w:rsidRDefault="00FA14AF" w:rsidP="007179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37FC0607" w14:textId="77777777" w:rsidR="00FA14AF" w:rsidRPr="001F7839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5A7FF9C8" w14:textId="77777777" w:rsidR="00FA14AF" w:rsidRPr="001F7839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14:paraId="7A9E532E" w14:textId="77777777" w:rsidR="00FA14AF" w:rsidRPr="001F7839" w:rsidRDefault="00FA14AF" w:rsidP="007179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26EA10A3" w14:textId="77777777" w:rsidR="00FA14AF" w:rsidRPr="001F7839" w:rsidRDefault="00FA14AF" w:rsidP="0071795A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26EFA" w:rsidRPr="001F7839" w14:paraId="5E73AE33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vAlign w:val="bottom"/>
            <w:hideMark/>
          </w:tcPr>
          <w:p w14:paraId="47537874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Revenue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6840D7E0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1AA68F22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02CDCE44" w14:textId="77777777" w:rsidR="00A549ED" w:rsidRPr="003C1876" w:rsidRDefault="00B574C6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1,311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2C6EC20C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30171ACF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016C3685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2F742C16" w14:textId="77777777" w:rsidR="00A549ED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1,124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16CC226F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3051C485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4BECE963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5AC24C99" w14:textId="77777777" w:rsidR="00A549ED" w:rsidRPr="00DC6B19" w:rsidRDefault="00D1661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5,087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6B0172A1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31977DA7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1BBC508E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41" w:type="pct"/>
            <w:shd w:val="clear" w:color="auto" w:fill="auto"/>
            <w:vAlign w:val="bottom"/>
            <w:hideMark/>
          </w:tcPr>
          <w:p w14:paraId="226B05BE" w14:textId="77777777" w:rsidR="00A549ED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4,350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7EC81FAA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255E" w:rsidRPr="001F7839" w14:paraId="061797B3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EEB4AB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Cost of sales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95CB4D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3A5383E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46B723F" w14:textId="77777777" w:rsidR="00A549ED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501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0ABEEB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4B03A7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4D8060B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E6CAEE2" w14:textId="77777777" w:rsidR="00A549ED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514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7DFA9B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03D25F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3AA339E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38B1B92" w14:textId="77777777" w:rsidR="00A549ED" w:rsidRPr="00DC6B19" w:rsidRDefault="00D1661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1,965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ADB4D0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FE644F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E5AEEE3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18B392F" w14:textId="77777777" w:rsidR="00A549ED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1,903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1D74D2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255E" w:rsidRPr="001F7839" w14:paraId="2F5B6EE9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400" w:type="dxa"/>
              <w:bottom w:w="0" w:type="dxa"/>
              <w:right w:w="0" w:type="dxa"/>
            </w:tcMar>
            <w:vAlign w:val="bottom"/>
            <w:hideMark/>
          </w:tcPr>
          <w:p w14:paraId="522367CC" w14:textId="77777777" w:rsidR="00A549ED" w:rsidRPr="00685B0D" w:rsidRDefault="00A549ED" w:rsidP="002E6722">
            <w:pPr>
              <w:ind w:left="-212"/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Gross profit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3351D8AC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65F216F9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13683C28" w14:textId="77777777" w:rsidR="00A549ED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20D87B03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2BF3E993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47546AD1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0C92B988" w14:textId="77777777" w:rsidR="00A549ED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73E45591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19B3A09A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24F06A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27DC62" w14:textId="77777777" w:rsidR="00A549ED" w:rsidRPr="009771CC" w:rsidRDefault="00D1661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3,</w:t>
            </w:r>
            <w:r w:rsidR="00A549ED" w:rsidRPr="00DC6B19">
              <w:rPr>
                <w:rFonts w:ascii="Times New Roman" w:hAnsi="Times New Roman"/>
                <w:sz w:val="22"/>
                <w:szCs w:val="22"/>
              </w:rPr>
              <w:t>1</w:t>
            </w:r>
            <w:r w:rsidRPr="00DC6B19">
              <w:rPr>
                <w:rFonts w:ascii="Times New Roman" w:hAnsi="Times New Roman"/>
                <w:sz w:val="22"/>
                <w:szCs w:val="22"/>
              </w:rPr>
              <w:t>2</w:t>
            </w:r>
            <w:r w:rsidR="00A549ED" w:rsidRPr="009771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5B3E9F8D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0C7BB91F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01798606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174AA7" w14:textId="77777777" w:rsidR="00A549ED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2,44</w:t>
            </w:r>
            <w:r w:rsidR="00A549ED" w:rsidRPr="001F783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4E97C488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255E" w:rsidRPr="001F7839" w14:paraId="6E4D52C7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vAlign w:val="bottom"/>
            <w:hideMark/>
          </w:tcPr>
          <w:p w14:paraId="61BAA62D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Operating expenses: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5085FBC4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3F186BDD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26EED913" w14:textId="77777777" w:rsidR="00A549ED" w:rsidRPr="003C1876" w:rsidRDefault="00A549E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340A74EF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1034D629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5608947F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2235AF6B" w14:textId="77777777" w:rsidR="00A549ED" w:rsidRPr="003C1876" w:rsidRDefault="00A549E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00976934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4BAB8E63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824309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5271C3" w14:textId="77777777" w:rsidR="00A549ED" w:rsidRPr="00DC6B19" w:rsidRDefault="00A549E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5CE2EFE0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09193A65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27E1FC40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96E8A3" w14:textId="77777777" w:rsidR="00A549ED" w:rsidRPr="001F7839" w:rsidRDefault="00A549E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6F677055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255E" w:rsidRPr="001F7839" w14:paraId="1D443DAC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276D9DB2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Research and development expenses</w:t>
            </w:r>
            <w:r w:rsidR="00D1661D">
              <w:rPr>
                <w:rFonts w:ascii="Times New Roman" w:hAnsi="Times New Roman"/>
                <w:sz w:val="22"/>
                <w:szCs w:val="22"/>
              </w:rPr>
              <w:t>, net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334783D1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5998ADB5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514CEF37" w14:textId="77777777" w:rsidR="00A549ED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0F81F17E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071A2074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105BC607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2BC8C3C0" w14:textId="77777777" w:rsidR="00A549ED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500A61FC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395DD418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9E6480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825CCA" w14:textId="77777777" w:rsidR="00A549ED" w:rsidRPr="00DC6B19" w:rsidRDefault="00D1661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542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562E8680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51EAC387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365BE284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0DBEF0" w14:textId="77777777" w:rsidR="00A549ED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518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7062E6FC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255E" w:rsidRPr="001F7839" w14:paraId="4710A07D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200" w:type="dxa"/>
              <w:bottom w:w="30" w:type="dxa"/>
              <w:right w:w="0" w:type="dxa"/>
            </w:tcMar>
            <w:vAlign w:val="bottom"/>
            <w:hideMark/>
          </w:tcPr>
          <w:p w14:paraId="5DFEA728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Selling, general and administrative expenses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5F81CD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40347E7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CEA25C3" w14:textId="77777777" w:rsidR="00A549ED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B77033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581D81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C70DAEB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08B495A" w14:textId="77777777" w:rsidR="00A549ED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1,01</w:t>
            </w:r>
            <w:r w:rsidR="00A549ED" w:rsidRPr="003C187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89F5B0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A31B4F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15B6C48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B55E40B" w14:textId="77777777" w:rsidR="00A549ED" w:rsidRPr="00DC6B19" w:rsidRDefault="00D1661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3,956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1A4453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BC0530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B1FBE87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BDD34CE" w14:textId="77777777" w:rsidR="00A549ED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3,840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3FB507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255E" w:rsidRPr="001F7839" w14:paraId="349C04B7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400" w:type="dxa"/>
              <w:bottom w:w="30" w:type="dxa"/>
              <w:right w:w="0" w:type="dxa"/>
            </w:tcMar>
            <w:vAlign w:val="bottom"/>
            <w:hideMark/>
          </w:tcPr>
          <w:p w14:paraId="63E9B82B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Total operating expenses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84B44E2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A9E3DDD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3B7FDC2" w14:textId="77777777" w:rsidR="00A549ED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1,044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8ED758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E7F29A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B530185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A6E23A7" w14:textId="77777777" w:rsidR="00A549ED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1,146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5AC3CA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15FB9E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562B125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6329CA1" w14:textId="77777777" w:rsidR="00A549ED" w:rsidRPr="00DC6B19" w:rsidRDefault="00D1661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4,498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AF8B34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7C2501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8A46C69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6DFB1D6" w14:textId="77777777" w:rsidR="00A549ED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4,358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B659B2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255E" w:rsidRPr="001F7839" w14:paraId="524C3D48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600" w:type="dxa"/>
              <w:bottom w:w="0" w:type="dxa"/>
              <w:right w:w="0" w:type="dxa"/>
            </w:tcMar>
            <w:vAlign w:val="bottom"/>
            <w:hideMark/>
          </w:tcPr>
          <w:p w14:paraId="606DAE7B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Operating loss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6ACB81E4" w14:textId="77777777" w:rsidR="00A549ED" w:rsidRPr="00685B0D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1C430689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525E6F3D" w14:textId="77777777" w:rsidR="00A549ED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(234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0BDE5D37" w14:textId="77777777" w:rsidR="00D1661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6CAAC997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6F04920D" w14:textId="77777777" w:rsidR="00A549ED" w:rsidRPr="003C1876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1D63E1A7" w14:textId="77777777" w:rsidR="00A549ED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(536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1BD490EC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44C86BA0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D5B450" w14:textId="77777777" w:rsidR="00A549ED" w:rsidRPr="00A51F7B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733D13" w14:textId="77777777" w:rsidR="00A549ED" w:rsidRPr="00DC6B19" w:rsidRDefault="00A549ED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(1,</w:t>
            </w:r>
            <w:r w:rsidR="00D1661D" w:rsidRPr="00DC6B19">
              <w:rPr>
                <w:rFonts w:ascii="Times New Roman" w:hAnsi="Times New Roman"/>
                <w:sz w:val="22"/>
                <w:szCs w:val="22"/>
              </w:rPr>
              <w:t>376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2BFADDD7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521D5613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4A7BEFFE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B2BBFE" w14:textId="77777777" w:rsidR="00A549ED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(1,911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56E2B525" w14:textId="77777777" w:rsidR="00A549ED" w:rsidRPr="001F7839" w:rsidRDefault="00A549ED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C255E" w:rsidRPr="001F7839" w14:paraId="3EE2A163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51D7E220" w14:textId="77777777" w:rsidR="005D1CA4" w:rsidRPr="00685B0D" w:rsidRDefault="00AE4AC0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Finance expense, net</w:t>
            </w:r>
            <w:r w:rsidDel="00182F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620ABFD6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16E6941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3C8CDC4" w14:textId="77777777" w:rsidR="005D1CA4" w:rsidRPr="003C1876" w:rsidRDefault="00AE4AC0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(28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198A81F1" w14:textId="77777777" w:rsidR="005D1CA4" w:rsidRPr="003C1876" w:rsidRDefault="00AE4AC0" w:rsidP="00A549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71A7B4B1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9CBE8B4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EAB2BB7" w14:textId="77777777" w:rsidR="005D1CA4" w:rsidRPr="003C1876" w:rsidRDefault="00AE4AC0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(92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77B8DBA7" w14:textId="77777777" w:rsidR="005D1CA4" w:rsidRPr="001F7839" w:rsidRDefault="00AE4AC0" w:rsidP="00A549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09CF7D26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800C86F" w14:textId="77777777" w:rsidR="005D1CA4" w:rsidRPr="00A51F7B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1163BEA" w14:textId="77777777" w:rsidR="005D1CA4" w:rsidRPr="00DC6B19" w:rsidRDefault="00AE4AC0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(104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5D0567EF" w14:textId="77777777" w:rsidR="005D1CA4" w:rsidRPr="001F7839" w:rsidRDefault="00AE4AC0" w:rsidP="00A549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33711331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3FA10B3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B5F6AF5" w14:textId="77777777" w:rsidR="005D1CA4" w:rsidRPr="001F7839" w:rsidRDefault="00AE4AC0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(231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14:paraId="1697213B" w14:textId="77777777" w:rsidR="005D1CA4" w:rsidRPr="001F7839" w:rsidRDefault="00AE4AC0" w:rsidP="00A549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C255E" w:rsidRPr="001F7839" w14:paraId="52D5F55E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17561B59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Loss before income taxes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5D63EAA4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5D2D7017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33320C61" w14:textId="77777777" w:rsidR="005D1CA4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(262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2211BFE7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1DFBD284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60C7E45F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6F910938" w14:textId="77777777" w:rsidR="005D1CA4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(628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2A1B9B16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00196AA5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1CF2A3" w14:textId="77777777" w:rsidR="005D1CA4" w:rsidRPr="00A51F7B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9547FB" w14:textId="77777777" w:rsidR="005D1CA4" w:rsidRPr="00DC6B1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</w:t>
            </w:r>
            <w:r w:rsidR="00182F51">
              <w:rPr>
                <w:rFonts w:ascii="Times New Roman" w:hAnsi="Times New Roman"/>
                <w:sz w:val="22"/>
                <w:szCs w:val="22"/>
              </w:rPr>
              <w:t>1</w:t>
            </w:r>
            <w:r w:rsidRPr="00DC6B19">
              <w:rPr>
                <w:rFonts w:ascii="Times New Roman" w:hAnsi="Times New Roman"/>
                <w:sz w:val="22"/>
                <w:szCs w:val="22"/>
              </w:rPr>
              <w:t>,</w:t>
            </w:r>
            <w:r w:rsidR="00182F51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40F75DD2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6CD72205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144106C4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AD44E1" w14:textId="77777777" w:rsidR="005D1CA4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(2,142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1B381DA5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C255E" w:rsidRPr="001F7839" w14:paraId="171EF217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32FA5A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Income tax expense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BB3B6B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CE340EE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53EA1C3" w14:textId="77777777" w:rsidR="005D1CA4" w:rsidRPr="003C1876" w:rsidRDefault="00FC56A5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D06B43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AFD6BD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0CDCBA0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209B775" w14:textId="77777777" w:rsidR="005D1CA4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CFC091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1B7C4D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37C78F4" w14:textId="77777777" w:rsidR="005D1CA4" w:rsidRPr="00A51F7B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9390074" w14:textId="77777777" w:rsidR="005D1CA4" w:rsidRPr="00DC6B19" w:rsidRDefault="00FC56A5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D35DD9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C42367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48EEA87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9C81B27" w14:textId="77777777" w:rsidR="005D1CA4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(41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C68666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 </w:t>
            </w:r>
          </w:p>
        </w:tc>
      </w:tr>
      <w:tr w:rsidR="001C255E" w:rsidRPr="001F7839" w14:paraId="6F6B5F80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193A19B9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Net loss after income taxes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64F99EFA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5754D5AE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6C964D86" w14:textId="77777777" w:rsidR="005D1CA4" w:rsidRPr="003C1876" w:rsidRDefault="00D31A98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(262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5D28FB4C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083D88ED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3BBA984E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0071C89F" w14:textId="77777777" w:rsidR="005D1CA4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(628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282A3EE6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77BBCDCD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D32B6A" w14:textId="77777777" w:rsidR="005D1CA4" w:rsidRPr="00A51F7B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35865C" w14:textId="77777777" w:rsidR="005D1CA4" w:rsidRPr="00DC6B1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</w:t>
            </w:r>
            <w:r w:rsidR="00657EEF">
              <w:rPr>
                <w:rFonts w:ascii="Times New Roman" w:hAnsi="Times New Roman"/>
                <w:sz w:val="22"/>
                <w:szCs w:val="22"/>
              </w:rPr>
              <w:t>1</w:t>
            </w:r>
            <w:r w:rsidRPr="00DC6B19">
              <w:rPr>
                <w:rFonts w:ascii="Times New Roman" w:hAnsi="Times New Roman"/>
                <w:sz w:val="22"/>
                <w:szCs w:val="22"/>
              </w:rPr>
              <w:t>,</w:t>
            </w:r>
            <w:r w:rsidR="00657EEF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2A702CD9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2C7547DE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2A52CA9E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33E75D" w14:textId="77777777" w:rsidR="005D1CA4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(2,183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733FBE10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C255E" w:rsidRPr="001F7839" w14:paraId="4795972E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vAlign w:val="bottom"/>
            <w:hideMark/>
          </w:tcPr>
          <w:p w14:paraId="053B9CBA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Share of income in DSIT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5AF83C59" w14:textId="77777777" w:rsidR="005D1CA4" w:rsidRPr="00685B0D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003005B1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4D57053B" w14:textId="77777777" w:rsidR="005D1CA4" w:rsidRPr="003C1876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1E708F8A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5F3F6098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1D69A1A7" w14:textId="77777777" w:rsidR="005D1CA4" w:rsidRPr="003C1876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786B55DC" w14:textId="77777777" w:rsidR="005D1CA4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48C9E317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0419C11A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11AA74" w14:textId="77777777" w:rsidR="005D1CA4" w:rsidRPr="00A51F7B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C52432" w14:textId="77777777" w:rsidR="005D1CA4" w:rsidRPr="00DC6B1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690A55F9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4C911A0E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75A17ACD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F10401" w14:textId="77777777" w:rsidR="005D1CA4" w:rsidRPr="001F7839" w:rsidRDefault="005D1CA4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0F338C2F" w14:textId="77777777" w:rsidR="005D1CA4" w:rsidRPr="001F7839" w:rsidRDefault="005D1CA4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F7CB4" w:rsidRPr="001F7839" w14:paraId="34BEB03F" w14:textId="77777777" w:rsidTr="00C64257">
        <w:trPr>
          <w:trHeight w:hRule="exact" w:val="378"/>
        </w:trPr>
        <w:tc>
          <w:tcPr>
            <w:tcW w:w="2635" w:type="pct"/>
            <w:shd w:val="clear" w:color="auto" w:fill="auto"/>
            <w:vAlign w:val="bottom"/>
            <w:hideMark/>
          </w:tcPr>
          <w:p w14:paraId="50D58AB7" w14:textId="77777777" w:rsidR="00657EEF" w:rsidRPr="00685B0D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Impairment of investment in DSIT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2B376181" w14:textId="77777777" w:rsidR="00670F6E" w:rsidRPr="00685B0D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06A44F3C" w14:textId="77777777" w:rsidR="00670F6E" w:rsidRPr="001F7839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68805B34" w14:textId="77777777" w:rsidR="00670F6E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1F37D2C1" w14:textId="77777777" w:rsidR="00670F6E" w:rsidRPr="003C1876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3B9CE911" w14:textId="77777777" w:rsidR="00670F6E" w:rsidRPr="003C1876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0DA5F870" w14:textId="77777777" w:rsidR="00670F6E" w:rsidRPr="003C1876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33388A33" w14:textId="77777777" w:rsidR="00670F6E" w:rsidRPr="003C1876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(308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1B1A9222" w14:textId="77777777" w:rsidR="00670F6E" w:rsidRPr="001F7839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6564E064" w14:textId="77777777" w:rsidR="00670F6E" w:rsidRPr="001F7839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014573" w14:textId="77777777" w:rsidR="00670F6E" w:rsidRPr="00A51F7B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D246E9" w14:textId="77777777" w:rsidR="00670F6E" w:rsidRPr="00DC6B19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(33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16F73555" w14:textId="77777777" w:rsidR="00670F6E" w:rsidRPr="001F7839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24C5CBCE" w14:textId="77777777" w:rsidR="00670F6E" w:rsidRPr="001F7839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53287414" w14:textId="77777777" w:rsidR="00670F6E" w:rsidRPr="001F7839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F9FFBA" w14:textId="77777777" w:rsidR="00670F6E" w:rsidRPr="001F7839" w:rsidRDefault="00670F6E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(308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7ED461F3" w14:textId="77777777" w:rsidR="00670F6E" w:rsidRPr="001F7839" w:rsidRDefault="00670F6E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 </w:t>
            </w:r>
          </w:p>
        </w:tc>
      </w:tr>
      <w:tr w:rsidR="00526EFA" w:rsidRPr="001F7839" w14:paraId="21A56822" w14:textId="77777777" w:rsidTr="00C64257">
        <w:trPr>
          <w:trHeight w:hRule="exact" w:val="631"/>
        </w:trPr>
        <w:tc>
          <w:tcPr>
            <w:tcW w:w="2635" w:type="pct"/>
            <w:shd w:val="clear" w:color="auto" w:fill="auto"/>
            <w:vAlign w:val="bottom"/>
          </w:tcPr>
          <w:p w14:paraId="127C3C3A" w14:textId="1060793C" w:rsidR="0029751F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Loss on sale of interest in DSIT, net of</w:t>
            </w:r>
            <w:r w:rsidR="0029751F">
              <w:rPr>
                <w:rFonts w:ascii="Times New Roman" w:hAnsi="Times New Roman"/>
                <w:sz w:val="22"/>
                <w:szCs w:val="22"/>
              </w:rPr>
              <w:t xml:space="preserve"> transaction costs and withhold</w:t>
            </w:r>
            <w:r w:rsidR="001C255E">
              <w:rPr>
                <w:rFonts w:ascii="Times New Roman" w:hAnsi="Times New Roman"/>
                <w:sz w:val="22"/>
                <w:szCs w:val="22"/>
              </w:rPr>
              <w:t>ing</w:t>
            </w:r>
            <w:r w:rsidR="0029751F">
              <w:rPr>
                <w:rFonts w:ascii="Times New Roman" w:hAnsi="Times New Roman"/>
                <w:sz w:val="22"/>
                <w:szCs w:val="22"/>
              </w:rPr>
              <w:t xml:space="preserve"> taxes</w:t>
            </w:r>
          </w:p>
          <w:p w14:paraId="431F40A8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4AC0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transaction costs and withholding taxes</w:t>
            </w:r>
          </w:p>
        </w:tc>
        <w:tc>
          <w:tcPr>
            <w:tcW w:w="29" w:type="pct"/>
            <w:shd w:val="clear" w:color="auto" w:fill="auto"/>
            <w:vAlign w:val="bottom"/>
          </w:tcPr>
          <w:p w14:paraId="210040BA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1BFF54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31E9EE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36" w:type="pct"/>
            <w:shd w:val="clear" w:color="auto" w:fill="auto"/>
            <w:vAlign w:val="bottom"/>
          </w:tcPr>
          <w:p w14:paraId="01E82555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" w:type="pct"/>
            <w:shd w:val="clear" w:color="auto" w:fill="auto"/>
            <w:vAlign w:val="bottom"/>
          </w:tcPr>
          <w:p w14:paraId="41ECE780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79E721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A4AE5C" w14:textId="77777777" w:rsidR="00657EEF" w:rsidRPr="006E5330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330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63" w:type="pct"/>
            <w:shd w:val="clear" w:color="auto" w:fill="auto"/>
            <w:vAlign w:val="bottom"/>
          </w:tcPr>
          <w:p w14:paraId="43C1E34D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" w:type="pct"/>
            <w:shd w:val="clear" w:color="auto" w:fill="auto"/>
            <w:vAlign w:val="bottom"/>
          </w:tcPr>
          <w:p w14:paraId="0039DFB0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4706D4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DDCD16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(607</w:t>
            </w:r>
          </w:p>
        </w:tc>
        <w:tc>
          <w:tcPr>
            <w:tcW w:w="70" w:type="pct"/>
            <w:shd w:val="clear" w:color="auto" w:fill="auto"/>
            <w:vAlign w:val="bottom"/>
          </w:tcPr>
          <w:p w14:paraId="7A116D3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vAlign w:val="bottom"/>
          </w:tcPr>
          <w:p w14:paraId="099838A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C2AF7F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D35787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62" w:type="pct"/>
            <w:shd w:val="clear" w:color="auto" w:fill="auto"/>
            <w:vAlign w:val="bottom"/>
          </w:tcPr>
          <w:p w14:paraId="78D1BF50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26EFA" w:rsidRPr="001F7839" w14:paraId="7939A1FB" w14:textId="77777777" w:rsidTr="00C6425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98B4CB" w14:textId="77777777" w:rsidR="00657EEF" w:rsidRPr="00685B0D" w:rsidRDefault="00657EEF" w:rsidP="00FC56A5">
            <w:pPr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Loss before discontinued operations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5CC4C9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3F62239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48B97F5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(262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517522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077F1C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4A3FBE8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203EFF7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(744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19AADF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BD2C89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76289F8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A53AEDC" w14:textId="77777777" w:rsidR="00657EEF" w:rsidRPr="009771CC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(2,087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67F781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8ED19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40AD9B5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F4EBE68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(2,041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EB8AD3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C255E" w:rsidRPr="00AE4AC0" w14:paraId="3929F3FA" w14:textId="77777777" w:rsidTr="006D2367">
        <w:tc>
          <w:tcPr>
            <w:tcW w:w="2635" w:type="pct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33081884" w14:textId="77777777" w:rsidR="00657EEF" w:rsidRPr="00685B0D" w:rsidRDefault="00657EEF" w:rsidP="00FC56A5">
            <w:pPr>
              <w:ind w:left="-201"/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 xml:space="preserve">Income from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discontinued operations, net of 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>income taxes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58A13D05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CAEC41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7A51640" w14:textId="77777777" w:rsidR="00657EEF" w:rsidRPr="003C1876" w:rsidRDefault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330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335346B4" w14:textId="77777777" w:rsidR="00657EEF" w:rsidRPr="003C1876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1CCC3CBD" w14:textId="77777777" w:rsidR="00657EEF" w:rsidRPr="003C1876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242CDDD" w14:textId="77777777" w:rsidR="00657EEF" w:rsidRPr="003C1876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7E081C2" w14:textId="77777777" w:rsidR="00657EEF" w:rsidRPr="003C1876" w:rsidRDefault="00657E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3ADECD96" w14:textId="77777777" w:rsidR="00657EEF" w:rsidRPr="001F7839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1081D2BB" w14:textId="77777777" w:rsidR="00657EEF" w:rsidRPr="001F7839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F7DFE3D" w14:textId="77777777" w:rsidR="00657EEF" w:rsidRPr="00A51F7B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F8F4DBC" w14:textId="77777777" w:rsidR="00657EEF" w:rsidRPr="00DC6B19" w:rsidRDefault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330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37A634DC" w14:textId="77777777" w:rsidR="00657EEF" w:rsidRPr="001F7839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7E46B6A8" w14:textId="77777777" w:rsidR="00657EEF" w:rsidRPr="001F7839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9DA49F5" w14:textId="77777777" w:rsidR="00657EEF" w:rsidRPr="001F7839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65430D1" w14:textId="5060DDA5" w:rsidR="00657EEF" w:rsidRPr="001F7839" w:rsidRDefault="00657E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698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26E1A2A9" w14:textId="2F23EDA4" w:rsidR="00657EEF" w:rsidRPr="001F7839" w:rsidRDefault="00657EEF" w:rsidP="006E53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55E" w:rsidRPr="001F7839" w14:paraId="1EA38666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819BB5" w14:textId="77777777" w:rsidR="00657EEF" w:rsidRPr="00685B0D" w:rsidRDefault="00657EEF" w:rsidP="002E6722">
            <w:pPr>
              <w:ind w:left="175"/>
              <w:rPr>
                <w:rFonts w:ascii="Times New Roman" w:hAnsi="Times New Roman"/>
                <w:sz w:val="22"/>
                <w:szCs w:val="22"/>
              </w:rPr>
            </w:pPr>
            <w:r w:rsidRPr="004A3F28">
              <w:rPr>
                <w:rFonts w:ascii="Times New Roman" w:hAnsi="Times New Roman"/>
                <w:sz w:val="22"/>
                <w:szCs w:val="22"/>
              </w:rPr>
              <w:t>Net los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3F3916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407DBBA9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329524DA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(262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B38C99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259568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61E1B017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2A2D3F1E" w14:textId="77777777" w:rsidR="00657EEF" w:rsidRPr="003C1876" w:rsidRDefault="00CE5C09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(744</w:t>
            </w:r>
            <w:r w:rsidR="00657EEF" w:rsidRPr="003C1876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gramStart"/>
            <w:r w:rsidR="00657EEF" w:rsidRPr="003C1876">
              <w:rPr>
                <w:rFonts w:ascii="Times New Roman" w:hAnsi="Times New Roman"/>
                <w:sz w:val="22"/>
                <w:szCs w:val="22"/>
              </w:rPr>
              <w:t xml:space="preserve">   (</w:t>
            </w:r>
            <w:proofErr w:type="gramEnd"/>
            <w:r w:rsidR="00657EEF" w:rsidRPr="003C1876"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DB36C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D1DBDF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ECB07B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3B60E9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(2,087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0198C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4F8EE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2C29B74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697264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(1,343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563E5F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C255E" w:rsidRPr="001F7839" w14:paraId="6665696C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0267C044" w14:textId="1ED32C99" w:rsidR="00657EEF" w:rsidRPr="00685B0D" w:rsidRDefault="00657EEF" w:rsidP="00FC56A5">
            <w:pPr>
              <w:ind w:left="-201"/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Non-controlling interest share of loss</w:t>
            </w:r>
            <w:r w:rsidR="001C255E">
              <w:rPr>
                <w:rFonts w:ascii="Times New Roman" w:hAnsi="Times New Roman"/>
                <w:sz w:val="22"/>
                <w:szCs w:val="22"/>
              </w:rPr>
              <w:t xml:space="preserve"> - continuing operations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61478F92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15BCDF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9F8C211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2739B109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6B497C36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D2F0A91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0B54CB2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164C116C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7F451E05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99D9217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CFA41F7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37C170C1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130F75A8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32163D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2FFA5E4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62" w:type="pct"/>
            <w:shd w:val="clear" w:color="auto" w:fill="auto"/>
            <w:vAlign w:val="bottom"/>
          </w:tcPr>
          <w:p w14:paraId="648BE88E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55E" w:rsidRPr="001F7839" w14:paraId="20EF1F6E" w14:textId="77777777" w:rsidTr="006D2367">
        <w:trPr>
          <w:trHeight w:hRule="exact" w:val="288"/>
        </w:trPr>
        <w:tc>
          <w:tcPr>
            <w:tcW w:w="2635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8A4C45" w14:textId="77777777" w:rsidR="00657EEF" w:rsidRPr="00685B0D" w:rsidRDefault="00657EEF" w:rsidP="002E6722">
            <w:pPr>
              <w:ind w:left="175"/>
              <w:rPr>
                <w:rFonts w:ascii="Times New Roman" w:hAnsi="Times New Roman"/>
                <w:sz w:val="22"/>
                <w:szCs w:val="22"/>
              </w:rPr>
            </w:pPr>
            <w:r w:rsidRPr="004E47A5">
              <w:rPr>
                <w:rFonts w:ascii="Times New Roman" w:hAnsi="Times New Roman"/>
                <w:sz w:val="22"/>
                <w:szCs w:val="22"/>
              </w:rPr>
              <w:t>Net loss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 xml:space="preserve"> attributable to Acorn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Energy, Inc. 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>shareholders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9CCC74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115C72B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0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22AA3BB0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(245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C09AE9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03E3E4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374A766C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8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3EADE9D9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(694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F0F0C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524FC0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3ECA2E79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6D65BADC" w14:textId="77777777" w:rsidR="00657EEF" w:rsidRPr="009771CC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(2,001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BE8121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6CCEE5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1649DD11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2AB29FA8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(1,169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A3B8A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 </w:t>
            </w:r>
          </w:p>
        </w:tc>
      </w:tr>
      <w:tr w:rsidR="001C255E" w:rsidRPr="001F7839" w14:paraId="22111A10" w14:textId="77777777" w:rsidTr="006D2367">
        <w:trPr>
          <w:trHeight w:hRule="exact" w:val="144"/>
        </w:trPr>
        <w:tc>
          <w:tcPr>
            <w:tcW w:w="2635" w:type="pct"/>
            <w:shd w:val="clear" w:color="auto" w:fill="auto"/>
            <w:tcMar>
              <w:top w:w="0" w:type="dxa"/>
              <w:left w:w="200" w:type="dxa"/>
              <w:bottom w:w="50" w:type="dxa"/>
              <w:right w:w="0" w:type="dxa"/>
            </w:tcMar>
            <w:vAlign w:val="bottom"/>
            <w:hideMark/>
          </w:tcPr>
          <w:p w14:paraId="10958D1D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54535652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1C2357E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12EF7FFA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090D4B80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5E163162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14716C2C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5E4F9937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2EB5CCE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0F820E9D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7750F7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69C27C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2356F613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5A2B0773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3FC9AAB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A7AD9D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</w:tcPr>
          <w:p w14:paraId="59BC262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55E" w:rsidRPr="001F7839" w14:paraId="4DB119DB" w14:textId="77777777" w:rsidTr="006D2367">
        <w:trPr>
          <w:trHeight w:val="108"/>
        </w:trPr>
        <w:tc>
          <w:tcPr>
            <w:tcW w:w="2635" w:type="pct"/>
            <w:shd w:val="clear" w:color="auto" w:fill="auto"/>
            <w:vAlign w:val="bottom"/>
          </w:tcPr>
          <w:p w14:paraId="05219482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4E47A5">
              <w:rPr>
                <w:rFonts w:ascii="Times New Roman" w:hAnsi="Times New Roman"/>
                <w:sz w:val="22"/>
                <w:szCs w:val="22"/>
              </w:rPr>
              <w:t>Basic and diluted net loss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 xml:space="preserve"> per share attributable to Acorn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Energy, Inc. 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>shareholders:</w:t>
            </w:r>
          </w:p>
        </w:tc>
        <w:tc>
          <w:tcPr>
            <w:tcW w:w="29" w:type="pct"/>
            <w:shd w:val="clear" w:color="auto" w:fill="auto"/>
            <w:vAlign w:val="bottom"/>
          </w:tcPr>
          <w:p w14:paraId="744AF7A5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</w:tcPr>
          <w:p w14:paraId="7B0B6C86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shd w:val="clear" w:color="auto" w:fill="auto"/>
            <w:vAlign w:val="bottom"/>
          </w:tcPr>
          <w:p w14:paraId="004F4CFD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" w:type="pct"/>
            <w:shd w:val="clear" w:color="auto" w:fill="auto"/>
            <w:vAlign w:val="bottom"/>
          </w:tcPr>
          <w:p w14:paraId="7D494692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</w:tcPr>
          <w:p w14:paraId="7F2545E0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</w:tcPr>
          <w:p w14:paraId="53F68DBF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</w:tcPr>
          <w:p w14:paraId="34A8BD77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" w:type="pct"/>
            <w:shd w:val="clear" w:color="auto" w:fill="auto"/>
            <w:vAlign w:val="bottom"/>
          </w:tcPr>
          <w:p w14:paraId="48795958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</w:tcPr>
          <w:p w14:paraId="72655A02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3B0526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41578D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" w:type="pct"/>
            <w:shd w:val="clear" w:color="auto" w:fill="auto"/>
            <w:vAlign w:val="bottom"/>
          </w:tcPr>
          <w:p w14:paraId="49C88068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</w:tcPr>
          <w:p w14:paraId="2BF2FADC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</w:tcPr>
          <w:p w14:paraId="238EA509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5E1F50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" w:type="pct"/>
            <w:shd w:val="clear" w:color="auto" w:fill="auto"/>
            <w:vAlign w:val="bottom"/>
          </w:tcPr>
          <w:p w14:paraId="5FE4201E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55E" w:rsidRPr="001F7839" w14:paraId="744BF0AB" w14:textId="77777777" w:rsidTr="006D2367">
        <w:tc>
          <w:tcPr>
            <w:tcW w:w="2635" w:type="pct"/>
            <w:shd w:val="clear" w:color="auto" w:fill="auto"/>
            <w:vAlign w:val="bottom"/>
            <w:hideMark/>
          </w:tcPr>
          <w:p w14:paraId="1E39C32C" w14:textId="77777777" w:rsidR="00657EEF" w:rsidRPr="00685B0D" w:rsidRDefault="00657EEF" w:rsidP="006E5330">
            <w:pPr>
              <w:ind w:left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From c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>ontinuing operations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290135F1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shd w:val="clear" w:color="auto" w:fill="auto"/>
            <w:vAlign w:val="bottom"/>
            <w:hideMark/>
          </w:tcPr>
          <w:p w14:paraId="2E7F38E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14:paraId="61B74518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3C1876">
              <w:rPr>
                <w:rFonts w:ascii="Times New Roman" w:hAnsi="Times New Roman"/>
                <w:sz w:val="22"/>
                <w:szCs w:val="22"/>
              </w:rPr>
              <w:t>0.01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4EE28CA0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6439A6F9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shd w:val="clear" w:color="auto" w:fill="auto"/>
            <w:vAlign w:val="bottom"/>
            <w:hideMark/>
          </w:tcPr>
          <w:p w14:paraId="12C777ED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09506DEE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(0.02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6D960B17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30346412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EFE3F9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09B4B3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(0.07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296630C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506A6F3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shd w:val="clear" w:color="auto" w:fill="auto"/>
            <w:vAlign w:val="bottom"/>
            <w:hideMark/>
          </w:tcPr>
          <w:p w14:paraId="1E39E69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507651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(0.06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5FD7C921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 </w:t>
            </w:r>
          </w:p>
        </w:tc>
      </w:tr>
      <w:tr w:rsidR="001C255E" w:rsidRPr="001F7839" w14:paraId="27565F53" w14:textId="77777777" w:rsidTr="006D2367">
        <w:tc>
          <w:tcPr>
            <w:tcW w:w="2635" w:type="pct"/>
            <w:shd w:val="clear" w:color="auto" w:fill="auto"/>
            <w:tcMar>
              <w:top w:w="0" w:type="dxa"/>
              <w:left w:w="400" w:type="dxa"/>
              <w:bottom w:w="0" w:type="dxa"/>
              <w:right w:w="0" w:type="dxa"/>
            </w:tcMar>
            <w:vAlign w:val="bottom"/>
            <w:hideMark/>
          </w:tcPr>
          <w:p w14:paraId="205CCFBA" w14:textId="77777777" w:rsidR="00657EEF" w:rsidRPr="00685B0D" w:rsidRDefault="00657EEF" w:rsidP="006E5330">
            <w:pPr>
              <w:ind w:left="-2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From d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>iscontinued operations</w:t>
            </w:r>
          </w:p>
        </w:tc>
        <w:tc>
          <w:tcPr>
            <w:tcW w:w="29" w:type="pct"/>
            <w:shd w:val="clear" w:color="auto" w:fill="auto"/>
            <w:vAlign w:val="bottom"/>
            <w:hideMark/>
          </w:tcPr>
          <w:p w14:paraId="2399D2F0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F3DF5C9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70B0D7D" w14:textId="77777777" w:rsidR="00657EEF" w:rsidRPr="003C1876" w:rsidRDefault="006E5330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330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36" w:type="pct"/>
            <w:shd w:val="clear" w:color="auto" w:fill="auto"/>
            <w:vAlign w:val="bottom"/>
            <w:hideMark/>
          </w:tcPr>
          <w:p w14:paraId="2E115CB6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vAlign w:val="bottom"/>
            <w:hideMark/>
          </w:tcPr>
          <w:p w14:paraId="6B1E85F6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D061206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CEE3A22" w14:textId="77777777" w:rsidR="00657EEF" w:rsidRPr="006E5330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5330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63" w:type="pct"/>
            <w:shd w:val="clear" w:color="auto" w:fill="auto"/>
            <w:vAlign w:val="bottom"/>
            <w:hideMark/>
          </w:tcPr>
          <w:p w14:paraId="1A390EE8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vAlign w:val="bottom"/>
            <w:hideMark/>
          </w:tcPr>
          <w:p w14:paraId="19FDAAFB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3952AB6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C94658D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―</w:t>
            </w:r>
          </w:p>
        </w:tc>
        <w:tc>
          <w:tcPr>
            <w:tcW w:w="70" w:type="pct"/>
            <w:shd w:val="clear" w:color="auto" w:fill="auto"/>
            <w:vAlign w:val="bottom"/>
            <w:hideMark/>
          </w:tcPr>
          <w:p w14:paraId="6408BF77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vAlign w:val="bottom"/>
            <w:hideMark/>
          </w:tcPr>
          <w:p w14:paraId="3EA63224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8DE56DD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4B71036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62" w:type="pct"/>
            <w:shd w:val="clear" w:color="auto" w:fill="auto"/>
            <w:vAlign w:val="bottom"/>
            <w:hideMark/>
          </w:tcPr>
          <w:p w14:paraId="0DF5BCBD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55E" w:rsidRPr="001F7839" w14:paraId="09F8B0B2" w14:textId="77777777" w:rsidTr="006D2367">
        <w:tc>
          <w:tcPr>
            <w:tcW w:w="2635" w:type="pct"/>
            <w:shd w:val="clear" w:color="auto" w:fill="auto"/>
            <w:tcMar>
              <w:top w:w="0" w:type="dxa"/>
              <w:left w:w="400" w:type="dxa"/>
              <w:bottom w:w="30" w:type="dxa"/>
              <w:right w:w="0" w:type="dxa"/>
            </w:tcMar>
            <w:vAlign w:val="bottom"/>
            <w:hideMark/>
          </w:tcPr>
          <w:p w14:paraId="3793C3A0" w14:textId="77777777" w:rsidR="00657EEF" w:rsidRPr="00685B0D" w:rsidRDefault="00657EEF" w:rsidP="006E53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 loss per share attributable to Acorn Energy, Inc.</w:t>
            </w:r>
            <w:r w:rsidRPr="00685B0D">
              <w:rPr>
                <w:rFonts w:ascii="Times New Roman" w:hAnsi="Times New Roman"/>
                <w:sz w:val="22"/>
                <w:szCs w:val="22"/>
              </w:rPr>
              <w:t xml:space="preserve"> shareholders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C4AE1D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265851F9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0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254D8338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3C1876">
              <w:rPr>
                <w:rFonts w:ascii="Times New Roman" w:hAnsi="Times New Roman"/>
                <w:sz w:val="22"/>
                <w:szCs w:val="22"/>
              </w:rPr>
              <w:t>0.01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AFB2F1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7098D9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7EA499BD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438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0BAAF0DB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(0.02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E6CB83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1A4525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06DB6D25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2AF6C99C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(0.07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A11CBE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D89245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0A703477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0D997314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(0.04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E0826F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C255E" w:rsidRPr="001F7839" w14:paraId="061AA941" w14:textId="77777777" w:rsidTr="006D2367">
        <w:tc>
          <w:tcPr>
            <w:tcW w:w="2635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249F645F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Weighted average number of shares outstanding attributable to Acorn shareholders – basic</w:t>
            </w:r>
            <w:r w:rsidR="006E5330">
              <w:rPr>
                <w:rFonts w:ascii="Times New Roman" w:hAnsi="Times New Roman"/>
                <w:sz w:val="22"/>
                <w:szCs w:val="22"/>
              </w:rPr>
              <w:t xml:space="preserve"> and diluted</w:t>
            </w:r>
          </w:p>
        </w:tc>
        <w:tc>
          <w:tcPr>
            <w:tcW w:w="29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11DA63D6" w14:textId="77777777" w:rsidR="00657EEF" w:rsidRPr="00685B0D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685B0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0234BB9F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3C0E830D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29,556</w:t>
            </w:r>
          </w:p>
        </w:tc>
        <w:tc>
          <w:tcPr>
            <w:tcW w:w="36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13C65DB9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8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3C063E13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56883DC3" w14:textId="77777777" w:rsidR="00657EEF" w:rsidRPr="003C1876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43B63A08" w14:textId="77777777" w:rsidR="00657EEF" w:rsidRPr="003C1876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1876">
              <w:rPr>
                <w:rFonts w:ascii="Times New Roman" w:hAnsi="Times New Roman"/>
                <w:sz w:val="22"/>
                <w:szCs w:val="22"/>
              </w:rPr>
              <w:t>29,500</w:t>
            </w:r>
          </w:p>
        </w:tc>
        <w:tc>
          <w:tcPr>
            <w:tcW w:w="63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40DD16BA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7CBDC4E5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1737718A" w14:textId="77777777" w:rsidR="00657EEF" w:rsidRPr="00A51F7B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A51F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450B87C9" w14:textId="77777777" w:rsidR="00657EEF" w:rsidRPr="00DC6B1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6B19">
              <w:rPr>
                <w:rFonts w:ascii="Times New Roman" w:hAnsi="Times New Roman"/>
                <w:sz w:val="22"/>
                <w:szCs w:val="22"/>
              </w:rPr>
              <w:t>29,540</w:t>
            </w:r>
          </w:p>
        </w:tc>
        <w:tc>
          <w:tcPr>
            <w:tcW w:w="70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6664FCE3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4B468C9F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5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6C8D88C6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0CC50C0B" w14:textId="77777777" w:rsidR="00657EEF" w:rsidRPr="001F7839" w:rsidRDefault="00657EEF" w:rsidP="00A549E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F7839">
              <w:rPr>
                <w:rFonts w:ascii="Times New Roman" w:hAnsi="Times New Roman"/>
                <w:sz w:val="22"/>
                <w:szCs w:val="22"/>
              </w:rPr>
              <w:t>29,423</w:t>
            </w:r>
          </w:p>
        </w:tc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7E6BBC10" w14:textId="77777777" w:rsidR="00657EEF" w:rsidRPr="001F7839" w:rsidRDefault="00657EEF" w:rsidP="00A5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DBC468" w14:textId="77777777" w:rsidR="009138BD" w:rsidRDefault="009138BD" w:rsidP="00D061E0">
      <w:pPr>
        <w:tabs>
          <w:tab w:val="left" w:pos="6536"/>
        </w:tabs>
        <w:rPr>
          <w:rFonts w:ascii="Times New Roman" w:hAnsi="Times New Roman"/>
          <w:sz w:val="22"/>
          <w:szCs w:val="22"/>
        </w:rPr>
      </w:pPr>
    </w:p>
    <w:p w14:paraId="550AA08C" w14:textId="77777777" w:rsidR="005D1CA4" w:rsidRDefault="005D1CA4" w:rsidP="00D061E0">
      <w:pPr>
        <w:tabs>
          <w:tab w:val="left" w:pos="6536"/>
        </w:tabs>
        <w:rPr>
          <w:sz w:val="20"/>
          <w:szCs w:val="20"/>
        </w:rPr>
      </w:pPr>
    </w:p>
    <w:p w14:paraId="13BE01BD" w14:textId="77777777" w:rsidR="009138BD" w:rsidRDefault="009138BD" w:rsidP="00D061E0">
      <w:pPr>
        <w:tabs>
          <w:tab w:val="left" w:pos="6536"/>
        </w:tabs>
        <w:rPr>
          <w:sz w:val="20"/>
          <w:szCs w:val="20"/>
        </w:rPr>
      </w:pPr>
    </w:p>
    <w:p w14:paraId="7B557231" w14:textId="77777777" w:rsidR="009138BD" w:rsidRDefault="009138BD" w:rsidP="00D061E0">
      <w:pPr>
        <w:tabs>
          <w:tab w:val="left" w:pos="6536"/>
        </w:tabs>
        <w:rPr>
          <w:sz w:val="20"/>
          <w:szCs w:val="20"/>
        </w:rPr>
      </w:pPr>
    </w:p>
    <w:p w14:paraId="180ACD65" w14:textId="77777777" w:rsidR="009138BD" w:rsidRDefault="009138BD" w:rsidP="00D061E0">
      <w:pPr>
        <w:tabs>
          <w:tab w:val="left" w:pos="6536"/>
        </w:tabs>
        <w:rPr>
          <w:sz w:val="20"/>
          <w:szCs w:val="20"/>
        </w:rPr>
      </w:pPr>
    </w:p>
    <w:p w14:paraId="71765E73" w14:textId="77777777" w:rsidR="009138BD" w:rsidRDefault="009138BD" w:rsidP="00347124">
      <w:pPr>
        <w:pStyle w:val="NormalWeb"/>
        <w:spacing w:before="0" w:beforeAutospacing="0" w:after="0" w:afterAutospacing="0"/>
        <w:jc w:val="center"/>
        <w:outlineLvl w:val="0"/>
        <w:rPr>
          <w:sz w:val="20"/>
          <w:szCs w:val="20"/>
        </w:rPr>
      </w:pPr>
    </w:p>
    <w:p w14:paraId="65125BE9" w14:textId="77777777" w:rsidR="009138BD" w:rsidRDefault="009138BD" w:rsidP="00347124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0"/>
          <w:szCs w:val="20"/>
        </w:rPr>
      </w:pPr>
    </w:p>
    <w:p w14:paraId="0C5CD67C" w14:textId="77777777" w:rsidR="003F6923" w:rsidRDefault="003F6923" w:rsidP="00FE1BC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609D088B" w14:textId="77777777" w:rsidR="004D2DE0" w:rsidRDefault="004D2DE0">
      <w:pPr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35DB0DD" w14:textId="77777777" w:rsidR="003F6923" w:rsidRDefault="003F6923" w:rsidP="00FE1BC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3C56C522" w14:textId="77777777" w:rsidR="00FE1BC5" w:rsidRPr="00FE1BC5" w:rsidRDefault="00FE1BC5" w:rsidP="00FE1BC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FE1BC5">
        <w:rPr>
          <w:b/>
          <w:bCs/>
          <w:sz w:val="22"/>
          <w:szCs w:val="22"/>
        </w:rPr>
        <w:t>ACORN ENERGY, INC. AND SUBSIDIARIES</w:t>
      </w:r>
      <w:r w:rsidRPr="00FE1BC5">
        <w:rPr>
          <w:sz w:val="22"/>
          <w:szCs w:val="22"/>
        </w:rPr>
        <w:br/>
      </w:r>
      <w:r w:rsidRPr="00FE1BC5">
        <w:rPr>
          <w:b/>
          <w:bCs/>
          <w:sz w:val="22"/>
          <w:szCs w:val="22"/>
        </w:rPr>
        <w:t>CONSOLIDATED BALANCE SHEETS</w:t>
      </w:r>
      <w:r w:rsidRPr="00FE1BC5">
        <w:rPr>
          <w:sz w:val="22"/>
          <w:szCs w:val="22"/>
        </w:rPr>
        <w:br/>
      </w:r>
      <w:r w:rsidRPr="00FE1BC5">
        <w:rPr>
          <w:b/>
          <w:bCs/>
          <w:sz w:val="22"/>
          <w:szCs w:val="22"/>
        </w:rPr>
        <w:t>(IN THOUSANDS, EXCEPT SHARE AND PER SHARE DATA)</w:t>
      </w:r>
    </w:p>
    <w:p w14:paraId="67D581B1" w14:textId="77777777" w:rsidR="00FE1BC5" w:rsidRPr="00FE1BC5" w:rsidRDefault="00FE1BC5" w:rsidP="00FE1BC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FE1BC5">
        <w:rPr>
          <w:sz w:val="22"/>
          <w:szCs w:val="22"/>
        </w:rPr>
        <w:t> </w:t>
      </w:r>
    </w:p>
    <w:tbl>
      <w:tblPr>
        <w:tblW w:w="50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83"/>
        <w:gridCol w:w="113"/>
        <w:gridCol w:w="1139"/>
        <w:gridCol w:w="92"/>
        <w:gridCol w:w="185"/>
        <w:gridCol w:w="113"/>
        <w:gridCol w:w="1141"/>
        <w:gridCol w:w="92"/>
      </w:tblGrid>
      <w:tr w:rsidR="00FE1BC5" w:rsidRPr="00FE1BC5" w14:paraId="611AA4F1" w14:textId="77777777" w:rsidTr="00FE1BC5">
        <w:trPr>
          <w:trHeight w:val="500"/>
        </w:trPr>
        <w:tc>
          <w:tcPr>
            <w:tcW w:w="0" w:type="auto"/>
            <w:vAlign w:val="bottom"/>
            <w:hideMark/>
          </w:tcPr>
          <w:p w14:paraId="04DD431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62758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vAlign w:val="bottom"/>
            <w:hideMark/>
          </w:tcPr>
          <w:p w14:paraId="5743CF80" w14:textId="77777777" w:rsidR="00FE1BC5" w:rsidRPr="00FE1BC5" w:rsidRDefault="00FE1BC5" w:rsidP="0071791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1BC5">
              <w:rPr>
                <w:b/>
                <w:bCs/>
                <w:sz w:val="22"/>
                <w:szCs w:val="22"/>
              </w:rPr>
              <w:t>As of</w:t>
            </w:r>
          </w:p>
          <w:p w14:paraId="5F7C4D52" w14:textId="77777777" w:rsidR="00FE1BC5" w:rsidRPr="00FE1BC5" w:rsidRDefault="00FE1BC5" w:rsidP="0071791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1BC5">
              <w:rPr>
                <w:b/>
                <w:bCs/>
                <w:sz w:val="22"/>
                <w:szCs w:val="22"/>
              </w:rPr>
              <w:t>December 31,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AF2B3D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1FB987DE" w14:textId="77777777" w:rsidTr="00FE1BC5">
        <w:trPr>
          <w:trHeight w:val="242"/>
        </w:trPr>
        <w:tc>
          <w:tcPr>
            <w:tcW w:w="0" w:type="auto"/>
            <w:vAlign w:val="bottom"/>
            <w:hideMark/>
          </w:tcPr>
          <w:p w14:paraId="56368CF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CAAA4A" w14:textId="77777777" w:rsidR="00FE1BC5" w:rsidRPr="00FE1BC5" w:rsidRDefault="00FE1BC5" w:rsidP="007179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1BC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14:paraId="4AF38218" w14:textId="77777777" w:rsidR="00FE1BC5" w:rsidRPr="00FE1BC5" w:rsidRDefault="00FE1BC5" w:rsidP="007179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1BC5">
              <w:rPr>
                <w:rFonts w:ascii="Times New Roman" w:hAnsi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D2A8CF" w14:textId="77777777" w:rsidR="00FE1BC5" w:rsidRPr="00FE1BC5" w:rsidRDefault="00FE1BC5" w:rsidP="007179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1BC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A30215" w14:textId="77777777" w:rsidR="00FE1BC5" w:rsidRPr="00FE1BC5" w:rsidRDefault="00FE1BC5" w:rsidP="007179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1BC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14:paraId="4E93ED9E" w14:textId="77777777" w:rsidR="00FE1BC5" w:rsidRPr="00FE1BC5" w:rsidRDefault="00FE1BC5" w:rsidP="007179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1BC5">
              <w:rPr>
                <w:rFonts w:ascii="Times New Roman" w:hAnsi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0FA855" w14:textId="77777777" w:rsidR="00FE1BC5" w:rsidRPr="00FE1BC5" w:rsidRDefault="00FE1BC5" w:rsidP="00717916">
            <w:pPr>
              <w:rPr>
                <w:b/>
                <w:bCs/>
                <w:sz w:val="22"/>
                <w:szCs w:val="22"/>
              </w:rPr>
            </w:pPr>
            <w:r w:rsidRPr="00FE1BC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1BC5" w:rsidRPr="00FE1BC5" w14:paraId="334D8752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2B9E11F6" w14:textId="77777777" w:rsidR="00FE1BC5" w:rsidRPr="00FE1BC5" w:rsidRDefault="00FE1BC5" w:rsidP="004D2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ASSETS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23DAB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7C89875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431A535F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FD4F0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CDD8D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04C8B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95AE3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492643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1847A65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404D2A5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Current assets: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5ECF8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2F4C728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22D21130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EA331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B7766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459D3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AE0ED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7D2F18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26AD918" w14:textId="77777777" w:rsidTr="00FE1BC5">
        <w:trPr>
          <w:trHeight w:val="258"/>
        </w:trPr>
        <w:tc>
          <w:tcPr>
            <w:tcW w:w="3396" w:type="pct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125843E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Cash and cash equivalents</w:t>
            </w:r>
          </w:p>
        </w:tc>
        <w:tc>
          <w:tcPr>
            <w:tcW w:w="96" w:type="pct"/>
            <w:shd w:val="clear" w:color="auto" w:fill="auto"/>
            <w:vAlign w:val="bottom"/>
            <w:hideMark/>
          </w:tcPr>
          <w:p w14:paraId="5F315B7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038DE12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75048776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973</w:t>
            </w:r>
          </w:p>
        </w:tc>
        <w:tc>
          <w:tcPr>
            <w:tcW w:w="48" w:type="pct"/>
            <w:shd w:val="clear" w:color="auto" w:fill="auto"/>
            <w:vAlign w:val="bottom"/>
            <w:hideMark/>
          </w:tcPr>
          <w:p w14:paraId="49CDAD5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7" w:type="pct"/>
            <w:shd w:val="clear" w:color="auto" w:fill="auto"/>
            <w:vAlign w:val="bottom"/>
            <w:hideMark/>
          </w:tcPr>
          <w:p w14:paraId="727F6C4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1D697D7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72FF155F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481</w:t>
            </w:r>
          </w:p>
        </w:tc>
        <w:tc>
          <w:tcPr>
            <w:tcW w:w="48" w:type="pct"/>
            <w:shd w:val="clear" w:color="auto" w:fill="auto"/>
            <w:vAlign w:val="bottom"/>
            <w:hideMark/>
          </w:tcPr>
          <w:p w14:paraId="3EE3C0DE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96F0DFA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18173C6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Restricted cash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74BDE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6FA5AD7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41FBAB2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E2E98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26273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BAC83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A0978B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E258A2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3A0DB68E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4478027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03767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5EE5320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19BE6070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866D3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19EB7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6A3AE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6346A7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1,103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9A431D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5AE1DA3C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3B214BB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Inventory, net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62751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6731A88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771B01FB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27EA3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5095A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89C31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0E35A1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2C2706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66C8D82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257E0D7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D71D4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2A8B8D4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46B7BE20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05A99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47E92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C7B10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FB7DB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9D23A0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7A9A3E46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6D7DB30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Investment in DSIT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49141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3094916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4E9A9DC4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A34C6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B61FD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EF9B6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2A59CC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5,800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C3BF9A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956F135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30" w:type="dxa"/>
              <w:right w:w="0" w:type="dxa"/>
            </w:tcMar>
            <w:vAlign w:val="bottom"/>
            <w:hideMark/>
          </w:tcPr>
          <w:p w14:paraId="0A5400A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Deferred charges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A934C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D5A555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D87BF8C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803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CC1D6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90AD1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94D3FC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3953314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D54223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1A04F96C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400" w:type="dxa"/>
              <w:bottom w:w="30" w:type="dxa"/>
              <w:right w:w="0" w:type="dxa"/>
            </w:tcMar>
            <w:vAlign w:val="bottom"/>
            <w:hideMark/>
          </w:tcPr>
          <w:p w14:paraId="47707CC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70E30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2C21E2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C0B376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3,136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5A1D1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1B336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78EEE4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157CBB1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8,703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2E4474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A4F9C57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4BE1718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Property and equipment, net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CE662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63327D0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22F4381D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19629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E7FB3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9D6E4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9D93F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41EDE1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3D0E5B4C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2D9A0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Other assets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7A27D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C57AA0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A232549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710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5A51A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FCA38E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71B578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EF9A0D2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9B7CC4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29544D7D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600" w:type="dxa"/>
              <w:bottom w:w="50" w:type="dxa"/>
              <w:right w:w="0" w:type="dxa"/>
            </w:tcMar>
            <w:vAlign w:val="bottom"/>
            <w:hideMark/>
          </w:tcPr>
          <w:p w14:paraId="6AD1424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78E7BB0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6CFF392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597" w:type="pct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1641B617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3,919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71F3472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1CFC8E5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1FEE437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auto"/>
            <w:vAlign w:val="bottom"/>
            <w:hideMark/>
          </w:tcPr>
          <w:p w14:paraId="129E7F6D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9,222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658B3A9C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BD32B0D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222D6D9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D1B74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5F7224C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38FA6A72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D2641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55B30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C2A94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E5D5ED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4CAE9A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25E62AB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1F277B26" w14:textId="77777777" w:rsidR="00FE1BC5" w:rsidRPr="00FE1BC5" w:rsidRDefault="00FE1BC5" w:rsidP="007179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LIABILITIES AND (DEFICIT)/EQUITY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AC2A2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0FDA3A1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41F2697B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C55C3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6F7D3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23EC5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2EB060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314CDC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BE8A2A5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59FC36A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Current liabilities: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C97A2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3B605A6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7A78DD48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CE186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8A199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04228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AD4DC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8D1EF0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B6B7009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36B47C6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Short-term bank credit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14EA1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4E660F9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3C70B80C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5173E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D96DE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5A9EE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8E9ED2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6F99C9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1033EDA1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13B5F61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Accounts payable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ADBA2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11CA303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14A7CE73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A7D4E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9FE54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2ADD0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6F583F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489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9953E3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9A87019" w14:textId="77777777" w:rsidTr="00FE1BC5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332FFBE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Accrued expenses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DE97A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406D460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3B252CC7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338FC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1FBC0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7E3B1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AE425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34E0FF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FEC7DD8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7DE16AA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Deferred revenue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C4DD3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5A672CF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43350374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2,734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D25F6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A3636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28ACC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79F429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2,753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98B1DE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3FFF36B0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3EA4AC6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Due to Acorn directors (former directors as of August 6, 2018)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76923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35D4BEB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3DA57827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FF4BC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0BFD4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010FD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C8C281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1,690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DAB92F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5BAF58A5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3CE1C61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Due to DSIT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795D7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170444E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19D4FAA3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9FFE1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E32E5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74A63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19DFE1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1,624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AE8849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0C41E383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30" w:type="dxa"/>
              <w:right w:w="0" w:type="dxa"/>
            </w:tcMar>
            <w:vAlign w:val="bottom"/>
            <w:hideMark/>
          </w:tcPr>
          <w:p w14:paraId="70E8A32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C820F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3A602F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2CBB583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FF33E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76686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18F0DB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80DA2A2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24FE70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8B9E3F1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400" w:type="dxa"/>
              <w:bottom w:w="30" w:type="dxa"/>
              <w:right w:w="0" w:type="dxa"/>
            </w:tcMar>
            <w:vAlign w:val="bottom"/>
            <w:hideMark/>
          </w:tcPr>
          <w:p w14:paraId="56C1BD6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8B133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F6C40A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6F91830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3,787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21DB4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E5231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F7FA7C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F54849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7,520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7056AC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561E9A03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1E6A7E2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Long-term liabilities: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7568D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1143EA6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75854E3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635B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16E3F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34C06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C59CC2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1BB5EA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D81AF4D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6F07544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Deferred revenue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393D4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39F08EA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5C9D8FE8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1,327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A69F0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30CBE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0A50E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CD8EEC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811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F0BCA4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C32482F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032F010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Other long-term liabilities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4649A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4C84275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04E5403F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DE60F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3BBB4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8C65D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2AC04B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1FCE18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20A0D75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30" w:type="dxa"/>
              <w:right w:w="0" w:type="dxa"/>
            </w:tcMar>
            <w:vAlign w:val="bottom"/>
            <w:hideMark/>
          </w:tcPr>
          <w:p w14:paraId="4008084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Due to Acorn director (former director as of August 6, 2018)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3206B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D37CD6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0CEDF9A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64D6D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938D7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5A5E18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7C9915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DAAC1F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3DA92501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400" w:type="dxa"/>
              <w:bottom w:w="30" w:type="dxa"/>
              <w:right w:w="0" w:type="dxa"/>
            </w:tcMar>
            <w:vAlign w:val="bottom"/>
            <w:hideMark/>
          </w:tcPr>
          <w:p w14:paraId="36B3266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Total long-term liabilities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D63D8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30234C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6AFE254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1,362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8A8C2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2F93A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63F4AB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5218C3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0E10D9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2E35B0F6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1CFD7ED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Commitments and contingencies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F7D20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15411ACE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7DAE1684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A2C35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2B833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54D24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14DC92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5E8588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1F45C73D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5CD29F4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(Deficit)/Equity: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34BBA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5D0F1E1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2801B22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1BF6D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D9F8FE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31DC0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D3A5E7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907E31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756F8F8F" w14:textId="77777777" w:rsidTr="00FE1BC5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52F933C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Acorn Energy, Inc. shareholders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44E6C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17560B0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5AF0ED5E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CF1E5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CBDEB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2C475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BA5A5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283469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10D14858" w14:textId="77777777" w:rsidTr="00FE1BC5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14:paraId="53E364F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Common stock - $0.01 par value per share: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A5806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493B77A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096A677D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10D8C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588D1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2902B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5B222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39A73A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43170DF6" w14:textId="77777777" w:rsidTr="00FE1BC5">
        <w:trPr>
          <w:trHeight w:val="500"/>
        </w:trPr>
        <w:tc>
          <w:tcPr>
            <w:tcW w:w="0" w:type="auto"/>
            <w:shd w:val="clear" w:color="auto" w:fill="auto"/>
            <w:vAlign w:val="bottom"/>
            <w:hideMark/>
          </w:tcPr>
          <w:p w14:paraId="47D11D9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Authorized – 42,000,000 shares; Issued – 30,357,706 and 30,302,271 shares at December 31, 2018 and 2017, respectively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6886C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1107CCE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734D55E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E51C1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7284F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644BB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B90CE9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311C4A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669875CA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667F705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Additional paid-in capital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0632A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02D29B4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649B750A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100,340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E5EBB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905EE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95060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15130A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99,819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880799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0C9E5D68" w14:textId="77777777" w:rsidTr="00FE1BC5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01EBA4D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Warrants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20B45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29B413D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7C6A6849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1,118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2FAD69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1C566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2BB5A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E41099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1,600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5D8404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20B5F4F1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14:paraId="32720AF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Accumulated deficit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1C6C3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496F7D4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5526C338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(100,064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1C29CA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7BFA2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39A1B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FD8547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(98,215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EEDD8C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)</w:t>
            </w:r>
          </w:p>
        </w:tc>
      </w:tr>
      <w:tr w:rsidR="00FE1BC5" w:rsidRPr="00FE1BC5" w14:paraId="2718D2EC" w14:textId="77777777" w:rsidTr="00FE1BC5">
        <w:trPr>
          <w:trHeight w:val="484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30" w:type="dxa"/>
              <w:right w:w="0" w:type="dxa"/>
            </w:tcMar>
            <w:vAlign w:val="bottom"/>
            <w:hideMark/>
          </w:tcPr>
          <w:p w14:paraId="7F82740D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Treasury stock, at cost – 801,920 shares at December 31, 2018 and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AB17E6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0C0B217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B7CE689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(3,036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A4E8DE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8650F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1DDA03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E579765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(3,036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57F9DA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)</w:t>
            </w:r>
          </w:p>
        </w:tc>
      </w:tr>
      <w:tr w:rsidR="00FE1BC5" w:rsidRPr="00FE1BC5" w14:paraId="5D2833AC" w14:textId="77777777" w:rsidTr="00FE1BC5">
        <w:trPr>
          <w:trHeight w:val="258"/>
        </w:trPr>
        <w:tc>
          <w:tcPr>
            <w:tcW w:w="0" w:type="auto"/>
            <w:shd w:val="clear" w:color="auto" w:fill="auto"/>
            <w:tcMar>
              <w:top w:w="0" w:type="dxa"/>
              <w:left w:w="400" w:type="dxa"/>
              <w:bottom w:w="0" w:type="dxa"/>
              <w:right w:w="0" w:type="dxa"/>
            </w:tcMar>
            <w:vAlign w:val="bottom"/>
            <w:hideMark/>
          </w:tcPr>
          <w:p w14:paraId="7E60807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Total Acorn Energy, Inc. shareholders’ (deficit)/equity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2CA384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shd w:val="clear" w:color="auto" w:fill="auto"/>
            <w:vAlign w:val="bottom"/>
            <w:hideMark/>
          </w:tcPr>
          <w:p w14:paraId="6689D83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14:paraId="5137B674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(1,338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5F542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2B8DF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F13E7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F6A5B0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471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3F22D6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75057551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200" w:type="dxa"/>
              <w:bottom w:w="30" w:type="dxa"/>
              <w:right w:w="0" w:type="dxa"/>
            </w:tcMar>
            <w:vAlign w:val="bottom"/>
            <w:hideMark/>
          </w:tcPr>
          <w:p w14:paraId="6A5335B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4053F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FE31F0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72AFF27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8B554F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547EE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F946D01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C26B586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0EC0C0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1E47A828" w14:textId="77777777" w:rsidTr="00FE1BC5">
        <w:trPr>
          <w:trHeight w:val="242"/>
        </w:trPr>
        <w:tc>
          <w:tcPr>
            <w:tcW w:w="0" w:type="auto"/>
            <w:shd w:val="clear" w:color="auto" w:fill="auto"/>
            <w:tcMar>
              <w:top w:w="0" w:type="dxa"/>
              <w:left w:w="400" w:type="dxa"/>
              <w:bottom w:w="30" w:type="dxa"/>
              <w:right w:w="0" w:type="dxa"/>
            </w:tcMar>
            <w:vAlign w:val="bottom"/>
            <w:hideMark/>
          </w:tcPr>
          <w:p w14:paraId="6D729018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Total (deficit)/equity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0EE9AB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A27363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D56ACF3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(1,230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35B42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4C254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83E5C1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B5F0B7C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752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871EF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  <w:tr w:rsidR="00FE1BC5" w:rsidRPr="00FE1BC5" w14:paraId="3BCF054B" w14:textId="77777777" w:rsidTr="00FE1BC5">
        <w:trPr>
          <w:trHeight w:val="274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50" w:type="dxa"/>
              <w:right w:w="0" w:type="dxa"/>
            </w:tcMar>
            <w:vAlign w:val="bottom"/>
            <w:hideMark/>
          </w:tcPr>
          <w:p w14:paraId="3E0AC13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Total liabilities and (deficit)/equity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3DA2A3FC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" w:type="pct"/>
            <w:tcBorders>
              <w:bottom w:val="double" w:sz="6" w:space="0" w:color="000000"/>
            </w:tcBorders>
            <w:shd w:val="clear" w:color="auto" w:fill="FFFFFF"/>
            <w:vAlign w:val="bottom"/>
            <w:hideMark/>
          </w:tcPr>
          <w:p w14:paraId="2379C7F3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597" w:type="pct"/>
            <w:tcBorders>
              <w:bottom w:val="double" w:sz="6" w:space="0" w:color="000000"/>
            </w:tcBorders>
            <w:shd w:val="clear" w:color="auto" w:fill="FFFFFF"/>
            <w:vAlign w:val="bottom"/>
            <w:hideMark/>
          </w:tcPr>
          <w:p w14:paraId="11F8811C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3,919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057DBBC2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4398B7E0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vAlign w:val="bottom"/>
            <w:hideMark/>
          </w:tcPr>
          <w:p w14:paraId="54D2E145" w14:textId="77777777" w:rsidR="00FE1BC5" w:rsidRPr="00FE1BC5" w:rsidRDefault="00FE1BC5" w:rsidP="00717916">
            <w:pPr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FFFFFF"/>
            <w:vAlign w:val="bottom"/>
            <w:hideMark/>
          </w:tcPr>
          <w:p w14:paraId="3918E630" w14:textId="77777777" w:rsidR="00FE1BC5" w:rsidRPr="00FE1BC5" w:rsidRDefault="00FE1BC5" w:rsidP="007179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1BC5">
              <w:rPr>
                <w:rFonts w:ascii="Times New Roman" w:hAnsi="Times New Roman"/>
                <w:sz w:val="22"/>
                <w:szCs w:val="22"/>
              </w:rPr>
              <w:t>9,222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50" w:type="dxa"/>
              <w:right w:w="0" w:type="dxa"/>
            </w:tcMar>
            <w:vAlign w:val="bottom"/>
            <w:hideMark/>
          </w:tcPr>
          <w:p w14:paraId="0B439C47" w14:textId="77777777" w:rsidR="00FE1BC5" w:rsidRPr="00FE1BC5" w:rsidRDefault="00FE1BC5" w:rsidP="00717916">
            <w:pPr>
              <w:rPr>
                <w:sz w:val="22"/>
                <w:szCs w:val="22"/>
              </w:rPr>
            </w:pPr>
            <w:r w:rsidRPr="00FE1BC5">
              <w:rPr>
                <w:sz w:val="22"/>
                <w:szCs w:val="22"/>
              </w:rPr>
              <w:t> </w:t>
            </w:r>
          </w:p>
        </w:tc>
      </w:tr>
    </w:tbl>
    <w:p w14:paraId="100ADC40" w14:textId="77777777" w:rsidR="00147EC6" w:rsidRPr="007462EC" w:rsidRDefault="00FE1BC5" w:rsidP="00685B0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FE1BC5">
        <w:rPr>
          <w:sz w:val="22"/>
          <w:szCs w:val="22"/>
        </w:rPr>
        <w:t> </w:t>
      </w:r>
    </w:p>
    <w:sectPr w:rsidR="00147EC6" w:rsidRPr="007462EC" w:rsidSect="003E4C8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7A39" w14:textId="77777777" w:rsidR="00DE643E" w:rsidRDefault="00DE643E" w:rsidP="00D061E0">
      <w:r>
        <w:separator/>
      </w:r>
    </w:p>
  </w:endnote>
  <w:endnote w:type="continuationSeparator" w:id="0">
    <w:p w14:paraId="7B06D5C7" w14:textId="77777777" w:rsidR="00DE643E" w:rsidRDefault="00DE643E" w:rsidP="00D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6C40" w14:textId="77777777" w:rsidR="00DE643E" w:rsidRDefault="00DE643E" w:rsidP="00D061E0">
      <w:r>
        <w:separator/>
      </w:r>
    </w:p>
  </w:footnote>
  <w:footnote w:type="continuationSeparator" w:id="0">
    <w:p w14:paraId="65DCCE78" w14:textId="77777777" w:rsidR="00DE643E" w:rsidRDefault="00DE643E" w:rsidP="00D0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0"/>
    <w:rsid w:val="00010E6B"/>
    <w:rsid w:val="00020D52"/>
    <w:rsid w:val="000326BD"/>
    <w:rsid w:val="00033E55"/>
    <w:rsid w:val="00042385"/>
    <w:rsid w:val="00043134"/>
    <w:rsid w:val="0004373D"/>
    <w:rsid w:val="000438CF"/>
    <w:rsid w:val="00045430"/>
    <w:rsid w:val="00050629"/>
    <w:rsid w:val="000515D6"/>
    <w:rsid w:val="000566BF"/>
    <w:rsid w:val="000575FA"/>
    <w:rsid w:val="000604D2"/>
    <w:rsid w:val="0006598B"/>
    <w:rsid w:val="00070A57"/>
    <w:rsid w:val="000863BD"/>
    <w:rsid w:val="000944FB"/>
    <w:rsid w:val="00094FE0"/>
    <w:rsid w:val="00097D0A"/>
    <w:rsid w:val="000A0E55"/>
    <w:rsid w:val="000A1611"/>
    <w:rsid w:val="000A661F"/>
    <w:rsid w:val="000A7E31"/>
    <w:rsid w:val="000B3985"/>
    <w:rsid w:val="000B3FCD"/>
    <w:rsid w:val="000C0DA0"/>
    <w:rsid w:val="000C7AA5"/>
    <w:rsid w:val="000D2C36"/>
    <w:rsid w:val="000D2DF7"/>
    <w:rsid w:val="000D3DE5"/>
    <w:rsid w:val="000D54FE"/>
    <w:rsid w:val="000E6D15"/>
    <w:rsid w:val="000F1CA6"/>
    <w:rsid w:val="000F3D98"/>
    <w:rsid w:val="000F6440"/>
    <w:rsid w:val="000F6D6D"/>
    <w:rsid w:val="000F6E68"/>
    <w:rsid w:val="00101B88"/>
    <w:rsid w:val="00103ADC"/>
    <w:rsid w:val="00105CD7"/>
    <w:rsid w:val="001139A9"/>
    <w:rsid w:val="00136350"/>
    <w:rsid w:val="00140AA0"/>
    <w:rsid w:val="00141CEA"/>
    <w:rsid w:val="00147EC6"/>
    <w:rsid w:val="00151F04"/>
    <w:rsid w:val="0015545D"/>
    <w:rsid w:val="00156484"/>
    <w:rsid w:val="001616BE"/>
    <w:rsid w:val="00164B91"/>
    <w:rsid w:val="001672DA"/>
    <w:rsid w:val="00172395"/>
    <w:rsid w:val="00172445"/>
    <w:rsid w:val="00174CDD"/>
    <w:rsid w:val="00175D94"/>
    <w:rsid w:val="001763A6"/>
    <w:rsid w:val="00181BA9"/>
    <w:rsid w:val="00182F51"/>
    <w:rsid w:val="00183754"/>
    <w:rsid w:val="001858AD"/>
    <w:rsid w:val="00185E85"/>
    <w:rsid w:val="00190906"/>
    <w:rsid w:val="00191AD8"/>
    <w:rsid w:val="00191EFB"/>
    <w:rsid w:val="00192CDE"/>
    <w:rsid w:val="0019775B"/>
    <w:rsid w:val="001A0AEB"/>
    <w:rsid w:val="001A53FB"/>
    <w:rsid w:val="001A6AE3"/>
    <w:rsid w:val="001B5964"/>
    <w:rsid w:val="001C255E"/>
    <w:rsid w:val="001C5B58"/>
    <w:rsid w:val="001D0529"/>
    <w:rsid w:val="001D134B"/>
    <w:rsid w:val="001D7708"/>
    <w:rsid w:val="001E39AD"/>
    <w:rsid w:val="001E475B"/>
    <w:rsid w:val="001F1676"/>
    <w:rsid w:val="001F36D6"/>
    <w:rsid w:val="001F7839"/>
    <w:rsid w:val="00204DA0"/>
    <w:rsid w:val="00204EF5"/>
    <w:rsid w:val="00210C95"/>
    <w:rsid w:val="002204D2"/>
    <w:rsid w:val="002474D3"/>
    <w:rsid w:val="00251817"/>
    <w:rsid w:val="00251DDB"/>
    <w:rsid w:val="00255244"/>
    <w:rsid w:val="00255582"/>
    <w:rsid w:val="0026056D"/>
    <w:rsid w:val="00262992"/>
    <w:rsid w:val="00264075"/>
    <w:rsid w:val="002754FB"/>
    <w:rsid w:val="00275874"/>
    <w:rsid w:val="00280528"/>
    <w:rsid w:val="00281AD5"/>
    <w:rsid w:val="002865D1"/>
    <w:rsid w:val="002873D0"/>
    <w:rsid w:val="00292520"/>
    <w:rsid w:val="00294B0D"/>
    <w:rsid w:val="002951A5"/>
    <w:rsid w:val="00296FB4"/>
    <w:rsid w:val="0029751F"/>
    <w:rsid w:val="002A13B8"/>
    <w:rsid w:val="002A25EB"/>
    <w:rsid w:val="002A4C58"/>
    <w:rsid w:val="002B05FD"/>
    <w:rsid w:val="002B1999"/>
    <w:rsid w:val="002B6FB7"/>
    <w:rsid w:val="002B7091"/>
    <w:rsid w:val="002B7CD1"/>
    <w:rsid w:val="002B7CD5"/>
    <w:rsid w:val="002C3F77"/>
    <w:rsid w:val="002C4A0D"/>
    <w:rsid w:val="002C7F12"/>
    <w:rsid w:val="002D23FE"/>
    <w:rsid w:val="002D2592"/>
    <w:rsid w:val="002D44AC"/>
    <w:rsid w:val="002D4721"/>
    <w:rsid w:val="002D621E"/>
    <w:rsid w:val="002E2066"/>
    <w:rsid w:val="002E56FF"/>
    <w:rsid w:val="002E6722"/>
    <w:rsid w:val="002F4141"/>
    <w:rsid w:val="002F7CB4"/>
    <w:rsid w:val="00301475"/>
    <w:rsid w:val="003019A9"/>
    <w:rsid w:val="0030573B"/>
    <w:rsid w:val="0030608D"/>
    <w:rsid w:val="00313276"/>
    <w:rsid w:val="003164BF"/>
    <w:rsid w:val="0032745E"/>
    <w:rsid w:val="00332D7D"/>
    <w:rsid w:val="00347124"/>
    <w:rsid w:val="00347647"/>
    <w:rsid w:val="00352FF3"/>
    <w:rsid w:val="00353CB5"/>
    <w:rsid w:val="003551E5"/>
    <w:rsid w:val="003554E2"/>
    <w:rsid w:val="0035645C"/>
    <w:rsid w:val="00360862"/>
    <w:rsid w:val="00362D00"/>
    <w:rsid w:val="00363DB7"/>
    <w:rsid w:val="00363DE5"/>
    <w:rsid w:val="00372E2E"/>
    <w:rsid w:val="00374269"/>
    <w:rsid w:val="00380056"/>
    <w:rsid w:val="00382112"/>
    <w:rsid w:val="00391FE3"/>
    <w:rsid w:val="003A27D8"/>
    <w:rsid w:val="003A27EC"/>
    <w:rsid w:val="003A47D9"/>
    <w:rsid w:val="003A72B6"/>
    <w:rsid w:val="003B7E5D"/>
    <w:rsid w:val="003C027C"/>
    <w:rsid w:val="003C1876"/>
    <w:rsid w:val="003C2DAD"/>
    <w:rsid w:val="003D200F"/>
    <w:rsid w:val="003D2827"/>
    <w:rsid w:val="003D4786"/>
    <w:rsid w:val="003D4A06"/>
    <w:rsid w:val="003D587B"/>
    <w:rsid w:val="003E035B"/>
    <w:rsid w:val="003E4C8B"/>
    <w:rsid w:val="003E781B"/>
    <w:rsid w:val="003F10DD"/>
    <w:rsid w:val="003F2643"/>
    <w:rsid w:val="003F6923"/>
    <w:rsid w:val="004013C5"/>
    <w:rsid w:val="00406628"/>
    <w:rsid w:val="00407415"/>
    <w:rsid w:val="00417CC9"/>
    <w:rsid w:val="00425DBF"/>
    <w:rsid w:val="00427F87"/>
    <w:rsid w:val="004305EB"/>
    <w:rsid w:val="0043585E"/>
    <w:rsid w:val="004435B1"/>
    <w:rsid w:val="0044477C"/>
    <w:rsid w:val="0045301D"/>
    <w:rsid w:val="00453774"/>
    <w:rsid w:val="004547AF"/>
    <w:rsid w:val="00456044"/>
    <w:rsid w:val="00457E6E"/>
    <w:rsid w:val="00460A50"/>
    <w:rsid w:val="00461F20"/>
    <w:rsid w:val="00465C0B"/>
    <w:rsid w:val="00466CBB"/>
    <w:rsid w:val="00467553"/>
    <w:rsid w:val="004721FD"/>
    <w:rsid w:val="00472407"/>
    <w:rsid w:val="00473407"/>
    <w:rsid w:val="00473568"/>
    <w:rsid w:val="004848A9"/>
    <w:rsid w:val="00490598"/>
    <w:rsid w:val="004926E7"/>
    <w:rsid w:val="004955F2"/>
    <w:rsid w:val="0049636B"/>
    <w:rsid w:val="00496B31"/>
    <w:rsid w:val="00496E98"/>
    <w:rsid w:val="004A3F28"/>
    <w:rsid w:val="004B7889"/>
    <w:rsid w:val="004C0999"/>
    <w:rsid w:val="004C4DBA"/>
    <w:rsid w:val="004C6CF2"/>
    <w:rsid w:val="004D0E79"/>
    <w:rsid w:val="004D2DE0"/>
    <w:rsid w:val="004D4C51"/>
    <w:rsid w:val="004D5C5E"/>
    <w:rsid w:val="004E47A5"/>
    <w:rsid w:val="004E4865"/>
    <w:rsid w:val="004E5247"/>
    <w:rsid w:val="004E5FDB"/>
    <w:rsid w:val="004F1AB3"/>
    <w:rsid w:val="004F21BB"/>
    <w:rsid w:val="004F4CE7"/>
    <w:rsid w:val="004F67E8"/>
    <w:rsid w:val="00501B1E"/>
    <w:rsid w:val="005123FF"/>
    <w:rsid w:val="00513808"/>
    <w:rsid w:val="00513DCC"/>
    <w:rsid w:val="0051429F"/>
    <w:rsid w:val="00515DBD"/>
    <w:rsid w:val="00517CC6"/>
    <w:rsid w:val="00524750"/>
    <w:rsid w:val="00524CEC"/>
    <w:rsid w:val="00525A94"/>
    <w:rsid w:val="00526A01"/>
    <w:rsid w:val="00526EFA"/>
    <w:rsid w:val="00531407"/>
    <w:rsid w:val="005375EC"/>
    <w:rsid w:val="00543270"/>
    <w:rsid w:val="00544F53"/>
    <w:rsid w:val="00550CDA"/>
    <w:rsid w:val="00553CAE"/>
    <w:rsid w:val="00561CE4"/>
    <w:rsid w:val="005732E0"/>
    <w:rsid w:val="0057442B"/>
    <w:rsid w:val="00575ADF"/>
    <w:rsid w:val="00575AF6"/>
    <w:rsid w:val="00577293"/>
    <w:rsid w:val="005778C9"/>
    <w:rsid w:val="005824D0"/>
    <w:rsid w:val="00586676"/>
    <w:rsid w:val="00586819"/>
    <w:rsid w:val="00587527"/>
    <w:rsid w:val="005900B9"/>
    <w:rsid w:val="00591EF5"/>
    <w:rsid w:val="00593424"/>
    <w:rsid w:val="00596844"/>
    <w:rsid w:val="005A6591"/>
    <w:rsid w:val="005A7BE8"/>
    <w:rsid w:val="005B03B4"/>
    <w:rsid w:val="005B54F5"/>
    <w:rsid w:val="005B593C"/>
    <w:rsid w:val="005C0BC3"/>
    <w:rsid w:val="005C4ED8"/>
    <w:rsid w:val="005C54BB"/>
    <w:rsid w:val="005D11B9"/>
    <w:rsid w:val="005D1CA4"/>
    <w:rsid w:val="005D2FFC"/>
    <w:rsid w:val="005D499C"/>
    <w:rsid w:val="005D5DBA"/>
    <w:rsid w:val="005F60E7"/>
    <w:rsid w:val="005F721C"/>
    <w:rsid w:val="005F7AFC"/>
    <w:rsid w:val="00600D39"/>
    <w:rsid w:val="0060479E"/>
    <w:rsid w:val="006054BC"/>
    <w:rsid w:val="0060629D"/>
    <w:rsid w:val="00612716"/>
    <w:rsid w:val="00613FD8"/>
    <w:rsid w:val="006143F6"/>
    <w:rsid w:val="0061635B"/>
    <w:rsid w:val="006224E8"/>
    <w:rsid w:val="00623E48"/>
    <w:rsid w:val="00630208"/>
    <w:rsid w:val="0063322B"/>
    <w:rsid w:val="00633739"/>
    <w:rsid w:val="00635879"/>
    <w:rsid w:val="006361C4"/>
    <w:rsid w:val="006416F6"/>
    <w:rsid w:val="006422FD"/>
    <w:rsid w:val="00645256"/>
    <w:rsid w:val="006455DA"/>
    <w:rsid w:val="00653599"/>
    <w:rsid w:val="00654A91"/>
    <w:rsid w:val="00657EEF"/>
    <w:rsid w:val="00665D22"/>
    <w:rsid w:val="0066765C"/>
    <w:rsid w:val="00670F6E"/>
    <w:rsid w:val="00671B32"/>
    <w:rsid w:val="00672229"/>
    <w:rsid w:val="0067444F"/>
    <w:rsid w:val="006750B8"/>
    <w:rsid w:val="006818EA"/>
    <w:rsid w:val="00685B0D"/>
    <w:rsid w:val="00687A66"/>
    <w:rsid w:val="006955DB"/>
    <w:rsid w:val="006966CF"/>
    <w:rsid w:val="006B01BD"/>
    <w:rsid w:val="006B0F74"/>
    <w:rsid w:val="006B1377"/>
    <w:rsid w:val="006B5D08"/>
    <w:rsid w:val="006B68C4"/>
    <w:rsid w:val="006B6D43"/>
    <w:rsid w:val="006B7F01"/>
    <w:rsid w:val="006C6034"/>
    <w:rsid w:val="006C7C17"/>
    <w:rsid w:val="006C7E7A"/>
    <w:rsid w:val="006D0787"/>
    <w:rsid w:val="006D1708"/>
    <w:rsid w:val="006D2367"/>
    <w:rsid w:val="006D300C"/>
    <w:rsid w:val="006D3E87"/>
    <w:rsid w:val="006D6D53"/>
    <w:rsid w:val="006E05D6"/>
    <w:rsid w:val="006E3B41"/>
    <w:rsid w:val="006E453B"/>
    <w:rsid w:val="006E5330"/>
    <w:rsid w:val="006E6865"/>
    <w:rsid w:val="006E6DAC"/>
    <w:rsid w:val="006F217A"/>
    <w:rsid w:val="006F37E4"/>
    <w:rsid w:val="007001B4"/>
    <w:rsid w:val="0070117E"/>
    <w:rsid w:val="00701C42"/>
    <w:rsid w:val="00706D64"/>
    <w:rsid w:val="007079CF"/>
    <w:rsid w:val="00712C71"/>
    <w:rsid w:val="00714499"/>
    <w:rsid w:val="00715112"/>
    <w:rsid w:val="00716F3C"/>
    <w:rsid w:val="00717916"/>
    <w:rsid w:val="0071795A"/>
    <w:rsid w:val="0072360B"/>
    <w:rsid w:val="00725BAA"/>
    <w:rsid w:val="007338D3"/>
    <w:rsid w:val="00733C40"/>
    <w:rsid w:val="00736ADB"/>
    <w:rsid w:val="00736C11"/>
    <w:rsid w:val="00740787"/>
    <w:rsid w:val="007462EC"/>
    <w:rsid w:val="00747723"/>
    <w:rsid w:val="00750E47"/>
    <w:rsid w:val="007510B8"/>
    <w:rsid w:val="00757AB3"/>
    <w:rsid w:val="00760C4D"/>
    <w:rsid w:val="00762E18"/>
    <w:rsid w:val="00780920"/>
    <w:rsid w:val="007819FE"/>
    <w:rsid w:val="00784DC3"/>
    <w:rsid w:val="00785E34"/>
    <w:rsid w:val="00785EC6"/>
    <w:rsid w:val="0078703B"/>
    <w:rsid w:val="007870CF"/>
    <w:rsid w:val="007914EE"/>
    <w:rsid w:val="00791E79"/>
    <w:rsid w:val="00792629"/>
    <w:rsid w:val="007938D0"/>
    <w:rsid w:val="007971DD"/>
    <w:rsid w:val="00797BF1"/>
    <w:rsid w:val="007A0A12"/>
    <w:rsid w:val="007A17C1"/>
    <w:rsid w:val="007B0D80"/>
    <w:rsid w:val="007B1187"/>
    <w:rsid w:val="007B2977"/>
    <w:rsid w:val="007B3AF1"/>
    <w:rsid w:val="007B44D3"/>
    <w:rsid w:val="007C062D"/>
    <w:rsid w:val="007C1B18"/>
    <w:rsid w:val="007C67E8"/>
    <w:rsid w:val="007D027A"/>
    <w:rsid w:val="007D0A12"/>
    <w:rsid w:val="007D543C"/>
    <w:rsid w:val="007D7D6B"/>
    <w:rsid w:val="007E3AF6"/>
    <w:rsid w:val="007E49B5"/>
    <w:rsid w:val="007E652B"/>
    <w:rsid w:val="007F17C2"/>
    <w:rsid w:val="007F4F3A"/>
    <w:rsid w:val="007F5651"/>
    <w:rsid w:val="007F56FB"/>
    <w:rsid w:val="007F6C75"/>
    <w:rsid w:val="007F7DE5"/>
    <w:rsid w:val="007F7EDA"/>
    <w:rsid w:val="008036F0"/>
    <w:rsid w:val="00803A11"/>
    <w:rsid w:val="00815437"/>
    <w:rsid w:val="00820DC7"/>
    <w:rsid w:val="008216FB"/>
    <w:rsid w:val="008303B7"/>
    <w:rsid w:val="00831466"/>
    <w:rsid w:val="00831E8A"/>
    <w:rsid w:val="00833EF1"/>
    <w:rsid w:val="008361EA"/>
    <w:rsid w:val="00845744"/>
    <w:rsid w:val="008625FD"/>
    <w:rsid w:val="008652BA"/>
    <w:rsid w:val="008718F0"/>
    <w:rsid w:val="008740C1"/>
    <w:rsid w:val="00874A02"/>
    <w:rsid w:val="0088144C"/>
    <w:rsid w:val="0088707A"/>
    <w:rsid w:val="00890A8B"/>
    <w:rsid w:val="00891394"/>
    <w:rsid w:val="0089349A"/>
    <w:rsid w:val="00895B08"/>
    <w:rsid w:val="008A180E"/>
    <w:rsid w:val="008A1CEB"/>
    <w:rsid w:val="008A2249"/>
    <w:rsid w:val="008B4242"/>
    <w:rsid w:val="008B454A"/>
    <w:rsid w:val="008C0303"/>
    <w:rsid w:val="008C52FD"/>
    <w:rsid w:val="008C791A"/>
    <w:rsid w:val="008E46E6"/>
    <w:rsid w:val="008E5AE2"/>
    <w:rsid w:val="008E5EB0"/>
    <w:rsid w:val="008F13D6"/>
    <w:rsid w:val="00906014"/>
    <w:rsid w:val="0091050D"/>
    <w:rsid w:val="00911391"/>
    <w:rsid w:val="009138BD"/>
    <w:rsid w:val="00916E5C"/>
    <w:rsid w:val="00917767"/>
    <w:rsid w:val="00920ABB"/>
    <w:rsid w:val="009306BC"/>
    <w:rsid w:val="00935457"/>
    <w:rsid w:val="009528A9"/>
    <w:rsid w:val="0096431A"/>
    <w:rsid w:val="009655B9"/>
    <w:rsid w:val="00971AC9"/>
    <w:rsid w:val="00972203"/>
    <w:rsid w:val="009724FB"/>
    <w:rsid w:val="009771CC"/>
    <w:rsid w:val="00983EE3"/>
    <w:rsid w:val="00985ED5"/>
    <w:rsid w:val="0099210B"/>
    <w:rsid w:val="0099544F"/>
    <w:rsid w:val="00997E44"/>
    <w:rsid w:val="009A2802"/>
    <w:rsid w:val="009A4989"/>
    <w:rsid w:val="009B28E0"/>
    <w:rsid w:val="009B4E3F"/>
    <w:rsid w:val="009B7045"/>
    <w:rsid w:val="009C03DB"/>
    <w:rsid w:val="009C41A9"/>
    <w:rsid w:val="009C5A24"/>
    <w:rsid w:val="009D18EE"/>
    <w:rsid w:val="009D2153"/>
    <w:rsid w:val="009D37E7"/>
    <w:rsid w:val="009D76AF"/>
    <w:rsid w:val="009F1AB5"/>
    <w:rsid w:val="00A064EF"/>
    <w:rsid w:val="00A12419"/>
    <w:rsid w:val="00A142DC"/>
    <w:rsid w:val="00A21BBE"/>
    <w:rsid w:val="00A23BE6"/>
    <w:rsid w:val="00A4533F"/>
    <w:rsid w:val="00A45B62"/>
    <w:rsid w:val="00A47806"/>
    <w:rsid w:val="00A51F7B"/>
    <w:rsid w:val="00A5395F"/>
    <w:rsid w:val="00A549ED"/>
    <w:rsid w:val="00A63C48"/>
    <w:rsid w:val="00A64DDF"/>
    <w:rsid w:val="00A67E4E"/>
    <w:rsid w:val="00A73476"/>
    <w:rsid w:val="00A73C19"/>
    <w:rsid w:val="00A80C67"/>
    <w:rsid w:val="00A84A59"/>
    <w:rsid w:val="00A90DA5"/>
    <w:rsid w:val="00A96918"/>
    <w:rsid w:val="00AA241F"/>
    <w:rsid w:val="00AA3C7E"/>
    <w:rsid w:val="00AB163C"/>
    <w:rsid w:val="00AB43FC"/>
    <w:rsid w:val="00AB61CA"/>
    <w:rsid w:val="00AB778B"/>
    <w:rsid w:val="00AC39B5"/>
    <w:rsid w:val="00AC6D99"/>
    <w:rsid w:val="00AD211D"/>
    <w:rsid w:val="00AD3B3B"/>
    <w:rsid w:val="00AD6A93"/>
    <w:rsid w:val="00AE243F"/>
    <w:rsid w:val="00AE4AC0"/>
    <w:rsid w:val="00AE5F18"/>
    <w:rsid w:val="00AE6B31"/>
    <w:rsid w:val="00AF47F3"/>
    <w:rsid w:val="00AF66A4"/>
    <w:rsid w:val="00B006D7"/>
    <w:rsid w:val="00B04313"/>
    <w:rsid w:val="00B04DE5"/>
    <w:rsid w:val="00B1333F"/>
    <w:rsid w:val="00B267E8"/>
    <w:rsid w:val="00B2728A"/>
    <w:rsid w:val="00B30A8F"/>
    <w:rsid w:val="00B3587C"/>
    <w:rsid w:val="00B462D8"/>
    <w:rsid w:val="00B52434"/>
    <w:rsid w:val="00B524A7"/>
    <w:rsid w:val="00B574C6"/>
    <w:rsid w:val="00B643A1"/>
    <w:rsid w:val="00B67333"/>
    <w:rsid w:val="00B67DB6"/>
    <w:rsid w:val="00B715A7"/>
    <w:rsid w:val="00B77242"/>
    <w:rsid w:val="00B82535"/>
    <w:rsid w:val="00B856F5"/>
    <w:rsid w:val="00B91307"/>
    <w:rsid w:val="00B9354A"/>
    <w:rsid w:val="00BA425A"/>
    <w:rsid w:val="00BA4644"/>
    <w:rsid w:val="00BA7819"/>
    <w:rsid w:val="00BB20B7"/>
    <w:rsid w:val="00BC1C48"/>
    <w:rsid w:val="00BC361D"/>
    <w:rsid w:val="00BC6D63"/>
    <w:rsid w:val="00BD29B7"/>
    <w:rsid w:val="00BD32B6"/>
    <w:rsid w:val="00BD33AB"/>
    <w:rsid w:val="00BD5385"/>
    <w:rsid w:val="00BD5F4D"/>
    <w:rsid w:val="00BE1FB5"/>
    <w:rsid w:val="00BE4FC5"/>
    <w:rsid w:val="00BF0B33"/>
    <w:rsid w:val="00BF3343"/>
    <w:rsid w:val="00BF3C63"/>
    <w:rsid w:val="00BF41B0"/>
    <w:rsid w:val="00BF6724"/>
    <w:rsid w:val="00C02A62"/>
    <w:rsid w:val="00C06210"/>
    <w:rsid w:val="00C1159C"/>
    <w:rsid w:val="00C1697E"/>
    <w:rsid w:val="00C20E50"/>
    <w:rsid w:val="00C217DE"/>
    <w:rsid w:val="00C27542"/>
    <w:rsid w:val="00C338FB"/>
    <w:rsid w:val="00C344C0"/>
    <w:rsid w:val="00C36038"/>
    <w:rsid w:val="00C37743"/>
    <w:rsid w:val="00C47792"/>
    <w:rsid w:val="00C51861"/>
    <w:rsid w:val="00C57280"/>
    <w:rsid w:val="00C63953"/>
    <w:rsid w:val="00C64257"/>
    <w:rsid w:val="00C64FAA"/>
    <w:rsid w:val="00C716C8"/>
    <w:rsid w:val="00C72A0A"/>
    <w:rsid w:val="00C7311D"/>
    <w:rsid w:val="00C920AE"/>
    <w:rsid w:val="00C92505"/>
    <w:rsid w:val="00C948F0"/>
    <w:rsid w:val="00C94B44"/>
    <w:rsid w:val="00CA472C"/>
    <w:rsid w:val="00CA68B4"/>
    <w:rsid w:val="00CA77DC"/>
    <w:rsid w:val="00CC14DE"/>
    <w:rsid w:val="00CC3F92"/>
    <w:rsid w:val="00CC7299"/>
    <w:rsid w:val="00CD1641"/>
    <w:rsid w:val="00CD1975"/>
    <w:rsid w:val="00CD2D36"/>
    <w:rsid w:val="00CD6BF3"/>
    <w:rsid w:val="00CE5C09"/>
    <w:rsid w:val="00CE6DB5"/>
    <w:rsid w:val="00CE6EB4"/>
    <w:rsid w:val="00CE7580"/>
    <w:rsid w:val="00CF06CE"/>
    <w:rsid w:val="00CF2F88"/>
    <w:rsid w:val="00CF5CC9"/>
    <w:rsid w:val="00CF7BAD"/>
    <w:rsid w:val="00D02115"/>
    <w:rsid w:val="00D061E0"/>
    <w:rsid w:val="00D11774"/>
    <w:rsid w:val="00D1194E"/>
    <w:rsid w:val="00D148C2"/>
    <w:rsid w:val="00D1661D"/>
    <w:rsid w:val="00D27412"/>
    <w:rsid w:val="00D2773D"/>
    <w:rsid w:val="00D31A98"/>
    <w:rsid w:val="00D346D1"/>
    <w:rsid w:val="00D37FF7"/>
    <w:rsid w:val="00D41BE7"/>
    <w:rsid w:val="00D47F2B"/>
    <w:rsid w:val="00D5526E"/>
    <w:rsid w:val="00D56A92"/>
    <w:rsid w:val="00D71F7E"/>
    <w:rsid w:val="00D73EC9"/>
    <w:rsid w:val="00D7679F"/>
    <w:rsid w:val="00D85BC6"/>
    <w:rsid w:val="00D85D1C"/>
    <w:rsid w:val="00D875CE"/>
    <w:rsid w:val="00D916AA"/>
    <w:rsid w:val="00D93211"/>
    <w:rsid w:val="00DA2910"/>
    <w:rsid w:val="00DA5CBE"/>
    <w:rsid w:val="00DB0773"/>
    <w:rsid w:val="00DB25A6"/>
    <w:rsid w:val="00DB2775"/>
    <w:rsid w:val="00DB3FDB"/>
    <w:rsid w:val="00DB410C"/>
    <w:rsid w:val="00DB748A"/>
    <w:rsid w:val="00DC39ED"/>
    <w:rsid w:val="00DC42CB"/>
    <w:rsid w:val="00DC4E17"/>
    <w:rsid w:val="00DC5257"/>
    <w:rsid w:val="00DC6B19"/>
    <w:rsid w:val="00DD1B7B"/>
    <w:rsid w:val="00DD265F"/>
    <w:rsid w:val="00DD3777"/>
    <w:rsid w:val="00DD5291"/>
    <w:rsid w:val="00DD5DB9"/>
    <w:rsid w:val="00DE593C"/>
    <w:rsid w:val="00DE643E"/>
    <w:rsid w:val="00DE7124"/>
    <w:rsid w:val="00DF3002"/>
    <w:rsid w:val="00DF4647"/>
    <w:rsid w:val="00E0059B"/>
    <w:rsid w:val="00E0638F"/>
    <w:rsid w:val="00E10524"/>
    <w:rsid w:val="00E21F6E"/>
    <w:rsid w:val="00E2239C"/>
    <w:rsid w:val="00E243EA"/>
    <w:rsid w:val="00E25767"/>
    <w:rsid w:val="00E26E1A"/>
    <w:rsid w:val="00E278FF"/>
    <w:rsid w:val="00E306F7"/>
    <w:rsid w:val="00E37626"/>
    <w:rsid w:val="00E44D8D"/>
    <w:rsid w:val="00E4666A"/>
    <w:rsid w:val="00E472E5"/>
    <w:rsid w:val="00E5137C"/>
    <w:rsid w:val="00E528A6"/>
    <w:rsid w:val="00E537F4"/>
    <w:rsid w:val="00E540BB"/>
    <w:rsid w:val="00E57952"/>
    <w:rsid w:val="00E579C3"/>
    <w:rsid w:val="00E631CC"/>
    <w:rsid w:val="00E724C4"/>
    <w:rsid w:val="00E76ADF"/>
    <w:rsid w:val="00E86860"/>
    <w:rsid w:val="00E86A50"/>
    <w:rsid w:val="00E908B9"/>
    <w:rsid w:val="00E93F0B"/>
    <w:rsid w:val="00E95B18"/>
    <w:rsid w:val="00E95D7A"/>
    <w:rsid w:val="00E97FCE"/>
    <w:rsid w:val="00EA18C9"/>
    <w:rsid w:val="00EA72C9"/>
    <w:rsid w:val="00EB030D"/>
    <w:rsid w:val="00EB06C5"/>
    <w:rsid w:val="00EB088E"/>
    <w:rsid w:val="00EC09B9"/>
    <w:rsid w:val="00EC0DEF"/>
    <w:rsid w:val="00EC1389"/>
    <w:rsid w:val="00EC1A6D"/>
    <w:rsid w:val="00EC26A5"/>
    <w:rsid w:val="00EC4773"/>
    <w:rsid w:val="00EC47C2"/>
    <w:rsid w:val="00ED0C8C"/>
    <w:rsid w:val="00ED5DD8"/>
    <w:rsid w:val="00EF406E"/>
    <w:rsid w:val="00EF473F"/>
    <w:rsid w:val="00F1017F"/>
    <w:rsid w:val="00F10244"/>
    <w:rsid w:val="00F111E3"/>
    <w:rsid w:val="00F137AF"/>
    <w:rsid w:val="00F1515E"/>
    <w:rsid w:val="00F15F6E"/>
    <w:rsid w:val="00F17A69"/>
    <w:rsid w:val="00F216C3"/>
    <w:rsid w:val="00F27B7F"/>
    <w:rsid w:val="00F37336"/>
    <w:rsid w:val="00F41773"/>
    <w:rsid w:val="00F42D72"/>
    <w:rsid w:val="00F43D6C"/>
    <w:rsid w:val="00F43ECE"/>
    <w:rsid w:val="00F46F5B"/>
    <w:rsid w:val="00F550A5"/>
    <w:rsid w:val="00F61B13"/>
    <w:rsid w:val="00F62128"/>
    <w:rsid w:val="00F65499"/>
    <w:rsid w:val="00F65C6E"/>
    <w:rsid w:val="00F7051E"/>
    <w:rsid w:val="00F765D0"/>
    <w:rsid w:val="00F83E9A"/>
    <w:rsid w:val="00F90E21"/>
    <w:rsid w:val="00F96A24"/>
    <w:rsid w:val="00F97688"/>
    <w:rsid w:val="00FA14AF"/>
    <w:rsid w:val="00FA1A18"/>
    <w:rsid w:val="00FA1A91"/>
    <w:rsid w:val="00FB2812"/>
    <w:rsid w:val="00FC023F"/>
    <w:rsid w:val="00FC17FF"/>
    <w:rsid w:val="00FC49BF"/>
    <w:rsid w:val="00FC56A5"/>
    <w:rsid w:val="00FD1274"/>
    <w:rsid w:val="00FD3577"/>
    <w:rsid w:val="00FD5F5D"/>
    <w:rsid w:val="00FE1BC5"/>
    <w:rsid w:val="00FF085D"/>
    <w:rsid w:val="00FF360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A85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1E0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D061E0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D061E0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D061E0"/>
    <w:rPr>
      <w:rFonts w:cs="Times New Roman"/>
      <w:color w:val="0000FF"/>
      <w:u w:val="single"/>
    </w:rPr>
  </w:style>
  <w:style w:type="paragraph" w:customStyle="1" w:styleId="Default">
    <w:name w:val="Default"/>
    <w:rsid w:val="00D061E0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bidi="he-IL"/>
    </w:rPr>
  </w:style>
  <w:style w:type="character" w:styleId="CommentReference">
    <w:name w:val="annotation reference"/>
    <w:basedOn w:val="DefaultParagraphFont"/>
    <w:semiHidden/>
    <w:unhideWhenUsed/>
    <w:rsid w:val="00D061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1E0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59"/>
    <w:rsid w:val="00D061E0"/>
    <w:rPr>
      <w:rFonts w:ascii="Times New Roman" w:eastAsia="Times New Roman" w:hAnsi="Times New Roman" w:cs="Times New Roman"/>
      <w:kern w:val="16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E0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E0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06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E0"/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2204D2"/>
    <w:rPr>
      <w:rFonts w:ascii="Cambria" w:eastAsia="Times New Roman" w:hAnsi="Cambria" w:cs="Times New Roman"/>
    </w:rPr>
  </w:style>
  <w:style w:type="character" w:customStyle="1" w:styleId="m6540648225798142413msocommentreference">
    <w:name w:val="m_6540648225798142413msocommentreference"/>
    <w:basedOn w:val="DefaultParagraphFont"/>
    <w:rsid w:val="00E376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26"/>
    <w:rPr>
      <w:rFonts w:ascii="Cambria" w:eastAsia="Times New Roman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1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cornenergy.com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finance.yahoo.com/quote/ACFN/profile?p=ACFN" TargetMode="External"/><Relationship Id="rId11" Type="http://schemas.openxmlformats.org/officeDocument/2006/relationships/hyperlink" Target="https://www.omnimetrix.net/wp-content/uploads/2018/12/Hero-2-Spec-Sheet1018.pdf" TargetMode="External"/><Relationship Id="rId12" Type="http://schemas.openxmlformats.org/officeDocument/2006/relationships/hyperlink" Target="http://oak.omnimetrix.net/wp-content/uploads/2018/12/OmniMetrix_AirGuard_11_29_18.pdf" TargetMode="External"/><Relationship Id="rId13" Type="http://schemas.openxmlformats.org/officeDocument/2006/relationships/hyperlink" Target="http://acornenergy.com/calls-and-transcripts/" TargetMode="External"/><Relationship Id="rId14" Type="http://schemas.openxmlformats.org/officeDocument/2006/relationships/hyperlink" Target="mailto:acfn@catalyst-ir.com" TargetMode="External"/><Relationship Id="rId15" Type="http://schemas.openxmlformats.org/officeDocument/2006/relationships/hyperlink" Target="http://www.acornenergy.com" TargetMode="External"/><Relationship Id="rId16" Type="http://schemas.openxmlformats.org/officeDocument/2006/relationships/hyperlink" Target="http://www.omnimetrix.net" TargetMode="External"/><Relationship Id="rId17" Type="http://schemas.openxmlformats.org/officeDocument/2006/relationships/hyperlink" Target="https://twitter.com/ACORN_IR" TargetMode="External"/><Relationship Id="rId18" Type="http://schemas.openxmlformats.org/officeDocument/2006/relationships/hyperlink" Target="https://twitter.com/OmniMetrix" TargetMode="External"/><Relationship Id="rId19" Type="http://schemas.openxmlformats.org/officeDocument/2006/relationships/hyperlink" Target="http://acfn@catalyst-ir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F1FEDD-3C28-A248-9398-A2C0046E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1959</Words>
  <Characters>11171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cp:lastPrinted>2019-03-26T18:44:00Z</cp:lastPrinted>
  <dcterms:created xsi:type="dcterms:W3CDTF">2019-03-27T02:20:00Z</dcterms:created>
  <dcterms:modified xsi:type="dcterms:W3CDTF">2019-03-27T02:20:00Z</dcterms:modified>
</cp:coreProperties>
</file>